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13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</w:p>
    <w:p w:rsidR="00EF5F87" w:rsidRPr="00CD7276" w:rsidRDefault="00EF5F87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Week 1: </w:t>
      </w:r>
      <w:r w:rsidR="005656F5">
        <w:rPr>
          <w:rFonts w:ascii="Arial" w:hAnsi="Arial" w:cs="Arial"/>
          <w:b/>
          <w:color w:val="2E74B5" w:themeColor="accent1" w:themeShade="BF"/>
          <w:sz w:val="24"/>
        </w:rPr>
        <w:t>The Outdoors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 xml:space="preserve">This week we will be completing activities around </w:t>
      </w:r>
      <w:r w:rsidR="009D3597">
        <w:rPr>
          <w:rFonts w:ascii="Arial" w:hAnsi="Arial" w:cs="Arial"/>
          <w:sz w:val="24"/>
        </w:rPr>
        <w:t>‘The Outdoors’</w:t>
      </w:r>
      <w:r w:rsidRPr="00CD7276">
        <w:rPr>
          <w:rFonts w:ascii="Arial" w:hAnsi="Arial" w:cs="Arial"/>
          <w:sz w:val="24"/>
        </w:rPr>
        <w:t xml:space="preserve">. This could be </w:t>
      </w:r>
      <w:r w:rsidR="009D3597">
        <w:rPr>
          <w:rFonts w:ascii="Arial" w:hAnsi="Arial" w:cs="Arial"/>
          <w:sz w:val="24"/>
        </w:rPr>
        <w:t>our gardens, parks, woods or beaches. Make the most of the outdoors with these fun food technology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5186"/>
      </w:tblGrid>
      <w:tr w:rsidR="00EF5F87" w:rsidRPr="00CD7276" w:rsidTr="00083664">
        <w:tc>
          <w:tcPr>
            <w:tcW w:w="4673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343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083664">
        <w:trPr>
          <w:trHeight w:val="6372"/>
        </w:trPr>
        <w:tc>
          <w:tcPr>
            <w:tcW w:w="4673" w:type="dxa"/>
          </w:tcPr>
          <w:p w:rsidR="007A29A9" w:rsidRDefault="005656F5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picnic is the perfect way to enjoy an outdoor space. Can you plan a picnic for you and your family? Think about food that’s easy to carry to the park and that you can enjoy sat on a picnic mat. </w:t>
            </w:r>
          </w:p>
          <w:p w:rsidR="00504927" w:rsidRDefault="00504927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7B7E13" w:rsidRDefault="00504927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 w:rsidRPr="00504927">
              <w:rPr>
                <w:rFonts w:ascii="Arial" w:hAnsi="Arial" w:cs="Arial"/>
                <w:color w:val="2E74B5" w:themeColor="accent1" w:themeShade="BF"/>
                <w:sz w:val="24"/>
              </w:rPr>
              <w:t xml:space="preserve">Note to parents: </w:t>
            </w:r>
            <w:r w:rsidR="005656F5">
              <w:rPr>
                <w:rFonts w:ascii="Arial" w:hAnsi="Arial" w:cs="Arial"/>
                <w:color w:val="2E74B5" w:themeColor="accent1" w:themeShade="BF"/>
                <w:sz w:val="24"/>
              </w:rPr>
              <w:t xml:space="preserve">Try to encourage your child to think of foods that everybody likes and include a variety of food groups. Picnics include a wide range of foods so sandwiches, sausage rolls, wraps are ideal. Get your child to use the planning sheet to think of ‘mains’ and ‘desert’ items. </w:t>
            </w:r>
          </w:p>
          <w:p w:rsidR="005656F5" w:rsidRDefault="005656F5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5656F5" w:rsidRDefault="005656F5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</w:rPr>
              <w:t>Older children may want to have a go at the budgeting sheet and help complete an online shopping list for picnic items</w:t>
            </w:r>
          </w:p>
          <w:p w:rsidR="007B7E13" w:rsidRPr="007B7E13" w:rsidRDefault="007B7E13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7A29A9" w:rsidRDefault="007A29A9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3" w:type="dxa"/>
          </w:tcPr>
          <w:p w:rsidR="00D563A0" w:rsidRDefault="005656F5" w:rsidP="00EF5F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is the perfect time to enjoy a fruit salad with lots of seasonal produce available Can you make a fruit salad using</w:t>
            </w:r>
            <w:r w:rsidR="00D563A0">
              <w:rPr>
                <w:rFonts w:ascii="Arial" w:hAnsi="Arial" w:cs="Arial"/>
                <w:sz w:val="24"/>
              </w:rPr>
              <w:t xml:space="preserve"> lots of different</w:t>
            </w:r>
            <w:r>
              <w:rPr>
                <w:rFonts w:ascii="Arial" w:hAnsi="Arial" w:cs="Arial"/>
                <w:sz w:val="24"/>
              </w:rPr>
              <w:t xml:space="preserve"> fruits </w:t>
            </w:r>
          </w:p>
          <w:p w:rsidR="00D563A0" w:rsidRDefault="00D563A0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504927" w:rsidRDefault="00504927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 w:rsidRPr="00504927">
              <w:rPr>
                <w:rFonts w:ascii="Arial" w:hAnsi="Arial" w:cs="Arial"/>
                <w:color w:val="2E74B5" w:themeColor="accent1" w:themeShade="BF"/>
                <w:sz w:val="24"/>
              </w:rPr>
              <w:t xml:space="preserve">Note to parents: This activity is about </w:t>
            </w:r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 xml:space="preserve">kitchen skills, encourage your child to peel, chop and slice safely by using the </w:t>
            </w:r>
            <w:proofErr w:type="spellStart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>youtube</w:t>
            </w:r>
            <w:proofErr w:type="spellEnd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 xml:space="preserve"> videos as a guide. </w:t>
            </w:r>
          </w:p>
          <w:p w:rsidR="00083664" w:rsidRDefault="00083664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83664" w:rsidRDefault="00083664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</w:rPr>
              <w:t>Chopping techniques and peeling videos</w:t>
            </w:r>
          </w:p>
          <w:p w:rsidR="00083664" w:rsidRDefault="00083664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bookmarkStart w:id="0" w:name="_GoBack"/>
            <w:bookmarkEnd w:id="0"/>
          </w:p>
          <w:p w:rsidR="00083664" w:rsidRDefault="00083664" w:rsidP="00D563A0">
            <w:pPr>
              <w:jc w:val="center"/>
            </w:pPr>
            <w:hyperlink r:id="rId5" w:history="1">
              <w:r w:rsidRPr="00083664">
                <w:rPr>
                  <w:color w:val="0000FF"/>
                  <w:u w:val="single"/>
                </w:rPr>
                <w:t>https://www.youtube.com/watch?v=mvJSPhAQNZ4</w:t>
              </w:r>
            </w:hyperlink>
          </w:p>
          <w:p w:rsidR="00083664" w:rsidRDefault="00083664" w:rsidP="00D563A0">
            <w:pPr>
              <w:jc w:val="center"/>
            </w:pPr>
          </w:p>
          <w:p w:rsidR="00083664" w:rsidRPr="00CD7276" w:rsidRDefault="00083664" w:rsidP="00D563A0">
            <w:pPr>
              <w:jc w:val="center"/>
              <w:rPr>
                <w:rFonts w:ascii="Arial" w:hAnsi="Arial" w:cs="Arial"/>
                <w:sz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https://www.youtube.com/watch?v=PMx5tzTwKjY</w:t>
              </w:r>
            </w:hyperlink>
          </w:p>
        </w:tc>
      </w:tr>
      <w:tr w:rsidR="00EF5F87" w:rsidRPr="00CD7276" w:rsidTr="00083664">
        <w:tc>
          <w:tcPr>
            <w:tcW w:w="4673" w:type="dxa"/>
          </w:tcPr>
          <w:p w:rsidR="00EF5F87" w:rsidRPr="00CD7276" w:rsidRDefault="007B7E13" w:rsidP="001336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Activity </w:t>
            </w:r>
            <w:r w:rsidR="001336AA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43" w:type="dxa"/>
          </w:tcPr>
          <w:p w:rsidR="00EF5F87" w:rsidRPr="00CD7276" w:rsidRDefault="007B7E13" w:rsidP="001336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Activity </w:t>
            </w:r>
            <w:r w:rsidR="001336AA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EF5F87" w:rsidRPr="00CD7276" w:rsidTr="00083664">
        <w:tc>
          <w:tcPr>
            <w:tcW w:w="4673" w:type="dxa"/>
          </w:tcPr>
          <w:p w:rsidR="00D563A0" w:rsidRDefault="00D563A0" w:rsidP="00EF5F8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S’mores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are a really yummy treat traditionally made on a campfire. They’re really quick and easy and can be done over a </w:t>
            </w:r>
            <w:proofErr w:type="spellStart"/>
            <w:r>
              <w:rPr>
                <w:rFonts w:ascii="Arial" w:hAnsi="Arial" w:cs="Arial"/>
                <w:sz w:val="24"/>
              </w:rPr>
              <w:t>firepit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or even a </w:t>
            </w:r>
            <w:proofErr w:type="spellStart"/>
            <w:r>
              <w:rPr>
                <w:rFonts w:ascii="Arial" w:hAnsi="Arial" w:cs="Arial"/>
                <w:sz w:val="24"/>
              </w:rPr>
              <w:t>tealight</w:t>
            </w:r>
            <w:proofErr w:type="spellEnd"/>
            <w:r>
              <w:rPr>
                <w:rFonts w:ascii="Arial" w:hAnsi="Arial" w:cs="Arial"/>
                <w:sz w:val="24"/>
              </w:rPr>
              <w:t>. You could add your own twist by including banana or using a different type of biscuit.</w:t>
            </w:r>
          </w:p>
          <w:p w:rsidR="00D563A0" w:rsidRDefault="00D563A0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CD7276" w:rsidRPr="00CD7276" w:rsidRDefault="00E319C7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</w:rPr>
              <w:t xml:space="preserve">Note to parents: </w:t>
            </w:r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 xml:space="preserve">Cooking over fire can be fun but please encourage your child to think about safety. A </w:t>
            </w:r>
            <w:proofErr w:type="spellStart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>tealight</w:t>
            </w:r>
            <w:proofErr w:type="spellEnd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 xml:space="preserve"> can be less risky, especially with younger children and the </w:t>
            </w:r>
            <w:proofErr w:type="spellStart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>s’mores</w:t>
            </w:r>
            <w:proofErr w:type="spellEnd"/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 xml:space="preserve"> are just as tasty. </w:t>
            </w:r>
          </w:p>
          <w:p w:rsidR="0029161E" w:rsidRPr="00CD7276" w:rsidRDefault="0029161E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43" w:type="dxa"/>
          </w:tcPr>
          <w:p w:rsidR="00E319C7" w:rsidRDefault="00D563A0" w:rsidP="00063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gruffalo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a fearsome creature that lives in the woods, but mouse LOVES </w:t>
            </w:r>
            <w:proofErr w:type="spellStart"/>
            <w:r>
              <w:rPr>
                <w:rFonts w:ascii="Arial" w:hAnsi="Arial" w:cs="Arial"/>
                <w:sz w:val="24"/>
              </w:rPr>
              <w:t>gruffalo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crumble. Have a go at making your own. </w:t>
            </w:r>
          </w:p>
          <w:p w:rsidR="009D3597" w:rsidRDefault="009D3597" w:rsidP="00063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D563A0" w:rsidRDefault="00D563A0" w:rsidP="00063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E319C7" w:rsidRDefault="00E319C7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 w:rsidRPr="00E319C7">
              <w:rPr>
                <w:rFonts w:ascii="Arial" w:hAnsi="Arial" w:cs="Arial"/>
                <w:color w:val="2E74B5" w:themeColor="accent1" w:themeShade="BF"/>
                <w:sz w:val="24"/>
              </w:rPr>
              <w:t>Note to parents</w:t>
            </w:r>
            <w:r w:rsidR="00D563A0">
              <w:rPr>
                <w:rFonts w:ascii="Arial" w:hAnsi="Arial" w:cs="Arial"/>
                <w:color w:val="2E74B5" w:themeColor="accent1" w:themeShade="BF"/>
                <w:sz w:val="24"/>
              </w:rPr>
              <w:t>: This recipe can be lots of fun. Encourage your child to help prepare the ingredients and enjoy the sensory aspect of making the crumble topping</w:t>
            </w:r>
            <w:r w:rsidR="004A5888">
              <w:rPr>
                <w:rFonts w:ascii="Arial" w:hAnsi="Arial" w:cs="Arial"/>
                <w:color w:val="2E74B5" w:themeColor="accent1" w:themeShade="BF"/>
                <w:sz w:val="24"/>
              </w:rPr>
              <w:t>.</w:t>
            </w:r>
          </w:p>
          <w:p w:rsidR="00083664" w:rsidRDefault="00083664" w:rsidP="00D563A0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83664" w:rsidRDefault="00083664" w:rsidP="000836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Gruffalo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BBC adaptation</w:t>
            </w:r>
          </w:p>
          <w:p w:rsidR="00083664" w:rsidRDefault="00083664" w:rsidP="00083664">
            <w:pPr>
              <w:rPr>
                <w:rFonts w:ascii="Arial" w:hAnsi="Arial" w:cs="Arial"/>
                <w:sz w:val="24"/>
              </w:rPr>
            </w:pPr>
            <w:hyperlink r:id="rId7" w:history="1">
              <w:r>
                <w:rPr>
                  <w:rStyle w:val="Hyperlink"/>
                </w:rPr>
                <w:t>https://www.bbc.co.uk/iplayer/episode/b00pk64x/the-gruffalo</w:t>
              </w:r>
            </w:hyperlink>
          </w:p>
          <w:p w:rsidR="00083664" w:rsidRDefault="00083664" w:rsidP="000836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 washing video</w:t>
            </w:r>
          </w:p>
          <w:p w:rsidR="00083664" w:rsidRDefault="00083664" w:rsidP="00083664">
            <w:pPr>
              <w:jc w:val="center"/>
              <w:rPr>
                <w:rFonts w:ascii="Arial" w:hAnsi="Arial" w:cs="Arial"/>
                <w:sz w:val="24"/>
              </w:rPr>
            </w:pPr>
            <w:hyperlink r:id="rId8" w:history="1">
              <w:r w:rsidRPr="000B6D59">
                <w:rPr>
                  <w:rStyle w:val="Hyperlink"/>
                </w:rPr>
                <w:t>https://www.youtube.com/watch?v=S9VjeIWLnEg</w:t>
              </w:r>
            </w:hyperlink>
          </w:p>
          <w:p w:rsidR="00083664" w:rsidRPr="00CD7276" w:rsidRDefault="00083664" w:rsidP="00D56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F5F87" w:rsidRPr="00CD7276" w:rsidRDefault="00EF5F87" w:rsidP="00EF5F87">
      <w:pPr>
        <w:jc w:val="center"/>
        <w:rPr>
          <w:rFonts w:ascii="Arial" w:hAnsi="Arial" w:cs="Arial"/>
          <w:sz w:val="24"/>
        </w:rPr>
      </w:pPr>
    </w:p>
    <w:p w:rsidR="00EF5F87" w:rsidRPr="00CD7276" w:rsidRDefault="00EF5F87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 xml:space="preserve"> </w:t>
      </w: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3492"/>
    <w:rsid w:val="00083664"/>
    <w:rsid w:val="000E5433"/>
    <w:rsid w:val="001336AA"/>
    <w:rsid w:val="00150486"/>
    <w:rsid w:val="001F16FC"/>
    <w:rsid w:val="0029161E"/>
    <w:rsid w:val="00353109"/>
    <w:rsid w:val="004A5888"/>
    <w:rsid w:val="00504927"/>
    <w:rsid w:val="005656F5"/>
    <w:rsid w:val="005B4F1B"/>
    <w:rsid w:val="007A29A9"/>
    <w:rsid w:val="007B7E13"/>
    <w:rsid w:val="009778DD"/>
    <w:rsid w:val="009D3597"/>
    <w:rsid w:val="00CD7276"/>
    <w:rsid w:val="00D563A0"/>
    <w:rsid w:val="00D9632B"/>
    <w:rsid w:val="00E319C7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221B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VjeIWLn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0pk64x/the-gruffa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x5tzTwKjY" TargetMode="External"/><Relationship Id="rId5" Type="http://schemas.openxmlformats.org/officeDocument/2006/relationships/hyperlink" Target="https://www.youtube.com/watch?v=mvJSPhAQNZ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2020-05-21T12:05:00Z</dcterms:created>
  <dcterms:modified xsi:type="dcterms:W3CDTF">2020-05-21T12:05:00Z</dcterms:modified>
</cp:coreProperties>
</file>