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29" w:rsidRPr="00274129" w:rsidRDefault="00C42E20" w:rsidP="002741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674C8F" wp14:editId="23F0FB9E">
            <wp:simplePos x="0" y="0"/>
            <wp:positionH relativeFrom="column">
              <wp:posOffset>5391785</wp:posOffset>
            </wp:positionH>
            <wp:positionV relativeFrom="paragraph">
              <wp:posOffset>-436880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129" w:rsidRPr="00274129">
        <w:rPr>
          <w:rFonts w:ascii="Arial" w:hAnsi="Arial" w:cs="Arial"/>
          <w:b/>
          <w:sz w:val="28"/>
          <w:szCs w:val="28"/>
        </w:rPr>
        <w:t>EYFS/KS1 Home Learning</w:t>
      </w:r>
    </w:p>
    <w:p w:rsidR="000E5433" w:rsidRDefault="004A5280" w:rsidP="002741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PSHE Activity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274129" w:rsidTr="00274129">
        <w:tc>
          <w:tcPr>
            <w:tcW w:w="5382" w:type="dxa"/>
          </w:tcPr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Things you will need 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4129" w:rsidRDefault="004A5280" w:rsidP="004A528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Empty plastic</w:t>
            </w:r>
            <w:r w:rsidR="007C0B02">
              <w:rPr>
                <w:rFonts w:ascii="Arial" w:hAnsi="Arial" w:cs="Arial"/>
                <w:sz w:val="28"/>
                <w:szCs w:val="28"/>
              </w:rPr>
              <w:t xml:space="preserve"> drinks</w:t>
            </w:r>
            <w:r>
              <w:rPr>
                <w:rFonts w:ascii="Arial" w:hAnsi="Arial" w:cs="Arial"/>
                <w:sz w:val="28"/>
                <w:szCs w:val="28"/>
              </w:rPr>
              <w:t xml:space="preserve"> bottle/s or empty yoghurt/fromage frais pots</w:t>
            </w:r>
          </w:p>
          <w:p w:rsidR="004A5280" w:rsidRDefault="004A5280" w:rsidP="004A528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Playdoh or Dry wipe pens</w:t>
            </w:r>
          </w:p>
          <w:p w:rsidR="004A5280" w:rsidRDefault="004A5280" w:rsidP="004A528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Toothbrush</w:t>
            </w:r>
          </w:p>
          <w:p w:rsidR="004A5280" w:rsidRPr="004A5280" w:rsidRDefault="004A5280" w:rsidP="004A528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274129" w:rsidRPr="00274129" w:rsidRDefault="00274129" w:rsidP="002741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All equipment can be swapped for something else that is similar based on what you have at home. 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274129" w:rsidRDefault="002717B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7332E35">
                  <wp:extent cx="1616710" cy="2425348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48" cy="24311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17B6" w:rsidRDefault="002717B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717B6" w:rsidRDefault="002717B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F6379B8">
                  <wp:extent cx="2072640" cy="2334895"/>
                  <wp:effectExtent l="0" t="0" r="381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334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129" w:rsidTr="00D71748">
        <w:tc>
          <w:tcPr>
            <w:tcW w:w="9016" w:type="dxa"/>
            <w:gridSpan w:val="2"/>
          </w:tcPr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Activity 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This activity is to </w:t>
            </w:r>
            <w:r w:rsidR="007C0B02">
              <w:rPr>
                <w:rFonts w:ascii="Arial" w:hAnsi="Arial" w:cs="Arial"/>
                <w:sz w:val="28"/>
                <w:szCs w:val="28"/>
              </w:rPr>
              <w:t>encourage good dental hygiene</w:t>
            </w:r>
            <w:r w:rsidR="002717B6">
              <w:rPr>
                <w:rFonts w:ascii="Arial" w:hAnsi="Arial" w:cs="Arial"/>
                <w:sz w:val="28"/>
                <w:szCs w:val="28"/>
              </w:rPr>
              <w:t xml:space="preserve"> and gives parents an opportunity to show children how to brush their teeth</w:t>
            </w:r>
            <w:r>
              <w:rPr>
                <w:rFonts w:ascii="Arial" w:hAnsi="Arial" w:cs="Arial"/>
                <w:sz w:val="28"/>
                <w:szCs w:val="28"/>
              </w:rPr>
              <w:t xml:space="preserve">. Please encourage the pupils to collect their own equipment where possible. 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4129" w:rsidRDefault="007C0B02" w:rsidP="0027412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If using </w:t>
            </w:r>
            <w:r>
              <w:rPr>
                <w:rFonts w:ascii="Arial" w:hAnsi="Arial" w:cs="Arial"/>
                <w:sz w:val="28"/>
                <w:szCs w:val="28"/>
              </w:rPr>
              <w:t>plastic bottles cut the bottom/s off. If using yoghurt pots or more than one drinks bottle arrange these upside down in a semi-circle. These will become the ‘teeth’.</w:t>
            </w:r>
          </w:p>
          <w:p w:rsidR="007C0B02" w:rsidRDefault="007C0B02" w:rsidP="0027412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either playdoh or dry wipe markers to add ‘plague’ to the ‘teeth’.</w:t>
            </w:r>
          </w:p>
          <w:p w:rsidR="007C0B02" w:rsidRDefault="007C0B02" w:rsidP="0027412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Using a toothbrush scrub off all the ‘plaque’ to get those ‘teeth’ sparkling!</w:t>
            </w:r>
          </w:p>
          <w:p w:rsidR="002717B6" w:rsidRDefault="002717B6" w:rsidP="002717B6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2717B6" w:rsidRPr="002717B6" w:rsidRDefault="002717B6" w:rsidP="002717B6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2717B6">
              <w:rPr>
                <w:rFonts w:ascii="Arial" w:hAnsi="Arial" w:cs="Arial"/>
                <w:sz w:val="28"/>
                <w:szCs w:val="28"/>
              </w:rPr>
              <w:t xml:space="preserve">You can also experiment with letting play dough dry on one tooth and applying fresh play dough to the second tooth to see how </w:t>
            </w:r>
            <w:r w:rsidRPr="002717B6">
              <w:rPr>
                <w:rFonts w:ascii="Arial" w:hAnsi="Arial" w:cs="Arial"/>
                <w:sz w:val="28"/>
                <w:szCs w:val="28"/>
              </w:rPr>
              <w:lastRenderedPageBreak/>
              <w:t>cleaning “dried plaque” may differ from cleaning teeth right after food/material build-up.</w:t>
            </w:r>
          </w:p>
          <w:p w:rsidR="00274129" w:rsidRPr="00274129" w:rsidRDefault="00274129" w:rsidP="00274129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74129" w:rsidRPr="00274129" w:rsidRDefault="00274129" w:rsidP="00274129">
      <w:pPr>
        <w:jc w:val="center"/>
        <w:rPr>
          <w:rFonts w:ascii="Arial" w:hAnsi="Arial" w:cs="Arial"/>
          <w:b/>
          <w:sz w:val="28"/>
          <w:szCs w:val="28"/>
        </w:rPr>
      </w:pPr>
    </w:p>
    <w:p w:rsidR="00274129" w:rsidRDefault="00274129"/>
    <w:sectPr w:rsidR="00274129" w:rsidSect="00C42E20">
      <w:pgSz w:w="11906" w:h="16838"/>
      <w:pgMar w:top="1440" w:right="1440" w:bottom="1440" w:left="1440" w:header="708" w:footer="708" w:gutter="0"/>
      <w:pgBorders w:offsetFrom="page">
        <w:top w:val="single" w:sz="48" w:space="24" w:color="8EAADB" w:themeColor="accent5" w:themeTint="99"/>
        <w:left w:val="single" w:sz="48" w:space="24" w:color="8EAADB" w:themeColor="accent5" w:themeTint="99"/>
        <w:bottom w:val="single" w:sz="48" w:space="24" w:color="8EAADB" w:themeColor="accent5" w:themeTint="99"/>
        <w:right w:val="single" w:sz="48" w:space="24" w:color="8EAADB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3D91"/>
    <w:multiLevelType w:val="hybridMultilevel"/>
    <w:tmpl w:val="61EE5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61736"/>
    <w:multiLevelType w:val="hybridMultilevel"/>
    <w:tmpl w:val="358A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0111"/>
    <w:multiLevelType w:val="hybridMultilevel"/>
    <w:tmpl w:val="EE6C5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29"/>
    <w:rsid w:val="000E5433"/>
    <w:rsid w:val="002717B6"/>
    <w:rsid w:val="00274129"/>
    <w:rsid w:val="004A5280"/>
    <w:rsid w:val="005E743B"/>
    <w:rsid w:val="007C0B02"/>
    <w:rsid w:val="00B00004"/>
    <w:rsid w:val="00C4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C566A2"/>
  <w15:chartTrackingRefBased/>
  <w15:docId w15:val="{F64E049C-AB77-4531-829F-85F6F6F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3</cp:revision>
  <dcterms:created xsi:type="dcterms:W3CDTF">2020-04-22T14:32:00Z</dcterms:created>
  <dcterms:modified xsi:type="dcterms:W3CDTF">2020-04-22T15:06:00Z</dcterms:modified>
</cp:coreProperties>
</file>