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right" w:tblpY="1038"/>
        <w:tblW w:w="14734" w:type="dxa"/>
        <w:tblLook w:val="04A0" w:firstRow="1" w:lastRow="0" w:firstColumn="1" w:lastColumn="0" w:noHBand="0" w:noVBand="1"/>
      </w:tblPr>
      <w:tblGrid>
        <w:gridCol w:w="4911"/>
        <w:gridCol w:w="4911"/>
        <w:gridCol w:w="4912"/>
      </w:tblGrid>
      <w:tr w:rsidR="00666468" w:rsidRPr="00373B18" w:rsidTr="002D14FE">
        <w:trPr>
          <w:trHeight w:val="2089"/>
        </w:trPr>
        <w:tc>
          <w:tcPr>
            <w:tcW w:w="4911" w:type="dxa"/>
          </w:tcPr>
          <w:p w:rsidR="00743131" w:rsidRPr="00373B18" w:rsidRDefault="00B874AD" w:rsidP="002D14FE">
            <w:pPr>
              <w:rPr>
                <w:rFonts w:ascii="Arial" w:hAnsi="Arial" w:cs="Arial"/>
                <w:b/>
                <w:sz w:val="18"/>
                <w:szCs w:val="18"/>
              </w:rPr>
            </w:pPr>
            <w:r w:rsidRPr="00373B18">
              <w:rPr>
                <w:rFonts w:ascii="Arial" w:hAnsi="Arial" w:cs="Arial"/>
                <w:b/>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1922521</wp:posOffset>
                      </wp:positionH>
                      <wp:positionV relativeFrom="paragraph">
                        <wp:posOffset>-602605</wp:posOffset>
                      </wp:positionV>
                      <wp:extent cx="5432156" cy="534692"/>
                      <wp:effectExtent l="0" t="0" r="0" b="0"/>
                      <wp:wrapNone/>
                      <wp:docPr id="1" name="Text Box 1"/>
                      <wp:cNvGraphicFramePr/>
                      <a:graphic xmlns:a="http://schemas.openxmlformats.org/drawingml/2006/main">
                        <a:graphicData uri="http://schemas.microsoft.com/office/word/2010/wordprocessingShape">
                          <wps:wsp>
                            <wps:cNvSpPr txBox="1"/>
                            <wps:spPr>
                              <a:xfrm>
                                <a:off x="0" y="0"/>
                                <a:ext cx="5432156" cy="534692"/>
                              </a:xfrm>
                              <a:prstGeom prst="rect">
                                <a:avLst/>
                              </a:prstGeom>
                              <a:solidFill>
                                <a:schemeClr val="lt1"/>
                              </a:solidFill>
                              <a:ln w="6350">
                                <a:noFill/>
                              </a:ln>
                            </wps:spPr>
                            <wps:txbx>
                              <w:txbxContent>
                                <w:p w:rsidR="00B874AD" w:rsidRPr="00B874AD" w:rsidRDefault="00AF7315" w:rsidP="00B874AD">
                                  <w:pPr>
                                    <w:jc w:val="center"/>
                                    <w:rPr>
                                      <w:rFonts w:ascii="Arial" w:hAnsi="Arial" w:cs="Arial"/>
                                      <w:sz w:val="36"/>
                                      <w:szCs w:val="36"/>
                                    </w:rPr>
                                  </w:pPr>
                                  <w:r>
                                    <w:rPr>
                                      <w:rFonts w:ascii="Arial" w:hAnsi="Arial" w:cs="Arial"/>
                                      <w:sz w:val="36"/>
                                      <w:szCs w:val="36"/>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1.4pt;margin-top:-47.45pt;width:427.75pt;height:4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" fillcolor="white [3201]" stroked="f" strokeweight=".5pt">
                      <v:textbox>
                        <w:txbxContent>
                          <w:p w:rsidR="00B874AD" w:rsidRPr="00B874AD" w:rsidRDefault="00AF7315" w:rsidP="00B874AD">
                            <w:pPr>
                              <w:jc w:val="center"/>
                              <w:rPr>
                                <w:rFonts w:ascii="Arial" w:hAnsi="Arial" w:cs="Arial"/>
                                <w:sz w:val="36"/>
                                <w:szCs w:val="36"/>
                              </w:rPr>
                            </w:pPr>
                            <w:r>
                              <w:rPr>
                                <w:rFonts w:ascii="Arial" w:hAnsi="Arial" w:cs="Arial"/>
                                <w:sz w:val="36"/>
                                <w:szCs w:val="36"/>
                              </w:rPr>
                              <w:t>Maths</w:t>
                            </w:r>
                          </w:p>
                        </w:txbxContent>
                      </v:textbox>
                    </v:shape>
                  </w:pict>
                </mc:Fallback>
              </mc:AlternateContent>
            </w:r>
            <w:r w:rsidR="00743131" w:rsidRPr="00373B18">
              <w:rPr>
                <w:rFonts w:ascii="Arial" w:hAnsi="Arial" w:cs="Arial"/>
                <w:b/>
                <w:sz w:val="18"/>
                <w:szCs w:val="18"/>
              </w:rPr>
              <w:t>EYFS</w:t>
            </w:r>
          </w:p>
          <w:p w:rsidR="00743131" w:rsidRPr="00AF7315" w:rsidRDefault="00743131" w:rsidP="002D14FE">
            <w:pPr>
              <w:rPr>
                <w:rFonts w:ascii="Arial" w:hAnsi="Arial" w:cs="Arial"/>
                <w:sz w:val="18"/>
                <w:szCs w:val="18"/>
              </w:rPr>
            </w:pPr>
          </w:p>
          <w:p w:rsidR="00AF7315" w:rsidRDefault="00AF7315" w:rsidP="00AF7315">
            <w:pPr>
              <w:rPr>
                <w:rFonts w:ascii="Arial" w:hAnsi="Arial" w:cs="Arial"/>
                <w:sz w:val="18"/>
                <w:szCs w:val="18"/>
              </w:rPr>
            </w:pPr>
            <w:r w:rsidRPr="00AF7315">
              <w:rPr>
                <w:rFonts w:ascii="Arial" w:hAnsi="Arial" w:cs="Arial"/>
                <w:sz w:val="18"/>
                <w:szCs w:val="18"/>
              </w:rPr>
              <w:t>Maths</w:t>
            </w:r>
            <w:r w:rsidR="002D14FE" w:rsidRPr="00AF7315">
              <w:rPr>
                <w:rFonts w:ascii="Arial" w:hAnsi="Arial" w:cs="Arial"/>
                <w:sz w:val="18"/>
                <w:szCs w:val="18"/>
              </w:rPr>
              <w:t xml:space="preserve"> is one of the </w:t>
            </w:r>
            <w:r w:rsidR="00A43B98" w:rsidRPr="00AF7315">
              <w:rPr>
                <w:rFonts w:ascii="Arial" w:hAnsi="Arial" w:cs="Arial"/>
                <w:sz w:val="18"/>
                <w:szCs w:val="18"/>
              </w:rPr>
              <w:t>Specific</w:t>
            </w:r>
            <w:r w:rsidR="002D14FE" w:rsidRPr="00AF7315">
              <w:rPr>
                <w:rFonts w:ascii="Arial" w:hAnsi="Arial" w:cs="Arial"/>
                <w:sz w:val="18"/>
                <w:szCs w:val="18"/>
              </w:rPr>
              <w:t xml:space="preserve"> areas of the Early Years Foundation Stage</w:t>
            </w:r>
          </w:p>
          <w:p w:rsidR="00AF7315" w:rsidRDefault="00AF7315" w:rsidP="00AF7315">
            <w:pPr>
              <w:rPr>
                <w:rFonts w:ascii="Arial" w:hAnsi="Arial" w:cs="Arial"/>
                <w:sz w:val="18"/>
                <w:szCs w:val="18"/>
              </w:rPr>
            </w:pPr>
          </w:p>
          <w:p w:rsidR="00743131" w:rsidRPr="00AF7315" w:rsidRDefault="00AF7315" w:rsidP="00AF7315">
            <w:pPr>
              <w:rPr>
                <w:rFonts w:ascii="Arial" w:hAnsi="Arial" w:cs="Arial"/>
                <w:sz w:val="18"/>
                <w:szCs w:val="18"/>
              </w:rPr>
            </w:pPr>
            <w:r>
              <w:rPr>
                <w:rFonts w:ascii="Arial" w:hAnsi="Arial" w:cs="Arial"/>
                <w:sz w:val="18"/>
                <w:szCs w:val="18"/>
              </w:rPr>
              <w:t xml:space="preserve">There are Early Learning Goals (ELG) within each area, we follow smaller steps for each pupil to support them onto their individual </w:t>
            </w:r>
            <w:r w:rsidR="00477EC7">
              <w:rPr>
                <w:rFonts w:ascii="Arial" w:hAnsi="Arial" w:cs="Arial"/>
                <w:sz w:val="18"/>
                <w:szCs w:val="18"/>
              </w:rPr>
              <w:t>goals.</w:t>
            </w:r>
            <w:r w:rsidR="002D14FE" w:rsidRPr="00AF7315">
              <w:rPr>
                <w:rFonts w:ascii="Arial" w:hAnsi="Arial" w:cs="Arial"/>
                <w:sz w:val="18"/>
                <w:szCs w:val="18"/>
              </w:rPr>
              <w:br/>
            </w:r>
          </w:p>
          <w:p w:rsidR="00AF7315" w:rsidRPr="00AF7315" w:rsidRDefault="00AF7315" w:rsidP="002D14FE">
            <w:pPr>
              <w:rPr>
                <w:rFonts w:ascii="Arial" w:hAnsi="Arial" w:cs="Arial"/>
                <w:b/>
                <w:sz w:val="18"/>
                <w:szCs w:val="18"/>
              </w:rPr>
            </w:pPr>
            <w:r w:rsidRPr="00AF7315">
              <w:rPr>
                <w:rFonts w:ascii="Arial" w:hAnsi="Arial" w:cs="Arial"/>
                <w:b/>
                <w:sz w:val="18"/>
                <w:szCs w:val="18"/>
              </w:rPr>
              <w:t xml:space="preserve">Number </w:t>
            </w:r>
          </w:p>
          <w:p w:rsidR="00AF7315" w:rsidRPr="00AF7315" w:rsidRDefault="00AF7315" w:rsidP="002D14FE">
            <w:pPr>
              <w:rPr>
                <w:rFonts w:ascii="Arial" w:hAnsi="Arial" w:cs="Arial"/>
                <w:sz w:val="18"/>
                <w:szCs w:val="18"/>
              </w:rPr>
            </w:pPr>
            <w:r w:rsidRPr="00AF7315">
              <w:rPr>
                <w:rFonts w:ascii="Arial" w:hAnsi="Arial" w:cs="Arial"/>
                <w:sz w:val="18"/>
                <w:szCs w:val="18"/>
              </w:rPr>
              <w:t xml:space="preserve">Have a deep understanding of number to 10, including the composition of each number. </w:t>
            </w:r>
          </w:p>
          <w:p w:rsidR="00AF7315" w:rsidRPr="00AF7315" w:rsidRDefault="00AF7315" w:rsidP="002D14FE">
            <w:pPr>
              <w:rPr>
                <w:rFonts w:ascii="Arial" w:hAnsi="Arial" w:cs="Arial"/>
                <w:sz w:val="18"/>
                <w:szCs w:val="18"/>
              </w:rPr>
            </w:pPr>
          </w:p>
          <w:p w:rsidR="00AF7315" w:rsidRPr="00AF7315" w:rsidRDefault="00AF7315" w:rsidP="002D14FE">
            <w:pPr>
              <w:rPr>
                <w:rFonts w:ascii="Arial" w:hAnsi="Arial" w:cs="Arial"/>
                <w:sz w:val="18"/>
                <w:szCs w:val="18"/>
              </w:rPr>
            </w:pPr>
            <w:proofErr w:type="spellStart"/>
            <w:r w:rsidRPr="00AF7315">
              <w:rPr>
                <w:rFonts w:ascii="Arial" w:hAnsi="Arial" w:cs="Arial"/>
                <w:sz w:val="18"/>
                <w:szCs w:val="18"/>
              </w:rPr>
              <w:t>Subitise</w:t>
            </w:r>
            <w:proofErr w:type="spellEnd"/>
            <w:r w:rsidRPr="00AF7315">
              <w:rPr>
                <w:rFonts w:ascii="Arial" w:hAnsi="Arial" w:cs="Arial"/>
                <w:sz w:val="18"/>
                <w:szCs w:val="18"/>
              </w:rPr>
              <w:t xml:space="preserve"> (recognise quantities without counting) up to 5. </w:t>
            </w:r>
          </w:p>
          <w:p w:rsidR="00AF7315" w:rsidRPr="00AF7315" w:rsidRDefault="00AF7315" w:rsidP="002D14FE">
            <w:pPr>
              <w:rPr>
                <w:rFonts w:ascii="Arial" w:hAnsi="Arial" w:cs="Arial"/>
                <w:sz w:val="18"/>
                <w:szCs w:val="18"/>
              </w:rPr>
            </w:pPr>
          </w:p>
          <w:p w:rsidR="00AF7315" w:rsidRPr="00AF7315" w:rsidRDefault="00AF7315" w:rsidP="002D14FE">
            <w:pPr>
              <w:rPr>
                <w:rFonts w:ascii="Arial" w:hAnsi="Arial" w:cs="Arial"/>
                <w:sz w:val="18"/>
                <w:szCs w:val="18"/>
              </w:rPr>
            </w:pPr>
            <w:r w:rsidRPr="00AF7315">
              <w:rPr>
                <w:rFonts w:ascii="Arial" w:hAnsi="Arial" w:cs="Arial"/>
                <w:sz w:val="18"/>
                <w:szCs w:val="18"/>
              </w:rPr>
              <w:t>Automatically recall (without reference to rhymes, counting or other aids) number bonds up to 5 (including subtraction facts) and some number bonds to 10, including double facts.</w:t>
            </w:r>
          </w:p>
          <w:p w:rsidR="00AF7315" w:rsidRPr="00AF7315" w:rsidRDefault="00AF7315" w:rsidP="002D14FE">
            <w:pPr>
              <w:rPr>
                <w:rFonts w:ascii="Arial" w:hAnsi="Arial" w:cs="Arial"/>
                <w:sz w:val="18"/>
                <w:szCs w:val="18"/>
              </w:rPr>
            </w:pPr>
          </w:p>
          <w:p w:rsidR="00AF7315" w:rsidRPr="00AF7315" w:rsidRDefault="00AF7315" w:rsidP="002D14FE">
            <w:pPr>
              <w:rPr>
                <w:rFonts w:ascii="Arial" w:hAnsi="Arial" w:cs="Arial"/>
                <w:b/>
                <w:sz w:val="18"/>
                <w:szCs w:val="18"/>
              </w:rPr>
            </w:pPr>
            <w:r w:rsidRPr="00AF7315">
              <w:rPr>
                <w:rFonts w:ascii="Arial" w:hAnsi="Arial" w:cs="Arial"/>
                <w:sz w:val="18"/>
                <w:szCs w:val="18"/>
              </w:rPr>
              <w:t xml:space="preserve"> </w:t>
            </w:r>
            <w:r w:rsidRPr="00AF7315">
              <w:rPr>
                <w:rFonts w:ascii="Arial" w:hAnsi="Arial" w:cs="Arial"/>
                <w:b/>
                <w:sz w:val="18"/>
                <w:szCs w:val="18"/>
              </w:rPr>
              <w:t xml:space="preserve">Numerical Patterns </w:t>
            </w:r>
          </w:p>
          <w:p w:rsidR="00AF7315" w:rsidRPr="00AF7315" w:rsidRDefault="00AF7315" w:rsidP="002D14FE">
            <w:pPr>
              <w:rPr>
                <w:rFonts w:ascii="Arial" w:hAnsi="Arial" w:cs="Arial"/>
                <w:sz w:val="18"/>
                <w:szCs w:val="18"/>
              </w:rPr>
            </w:pPr>
            <w:r w:rsidRPr="00AF7315">
              <w:rPr>
                <w:rFonts w:ascii="Arial" w:hAnsi="Arial" w:cs="Arial"/>
                <w:sz w:val="18"/>
                <w:szCs w:val="18"/>
              </w:rPr>
              <w:t xml:space="preserve">Verbally count beyond 20, recognising the pattern of the counting system. </w:t>
            </w:r>
          </w:p>
          <w:p w:rsidR="00AF7315" w:rsidRPr="00AF7315" w:rsidRDefault="00AF7315" w:rsidP="002D14FE">
            <w:pPr>
              <w:rPr>
                <w:rFonts w:ascii="Arial" w:hAnsi="Arial" w:cs="Arial"/>
                <w:sz w:val="18"/>
                <w:szCs w:val="18"/>
              </w:rPr>
            </w:pPr>
          </w:p>
          <w:p w:rsidR="00AF7315" w:rsidRPr="00AF7315" w:rsidRDefault="00AF7315" w:rsidP="002D14FE">
            <w:pPr>
              <w:rPr>
                <w:rFonts w:ascii="Arial" w:hAnsi="Arial" w:cs="Arial"/>
                <w:sz w:val="18"/>
                <w:szCs w:val="18"/>
              </w:rPr>
            </w:pPr>
            <w:r w:rsidRPr="00AF7315">
              <w:rPr>
                <w:rFonts w:ascii="Arial" w:hAnsi="Arial" w:cs="Arial"/>
                <w:sz w:val="18"/>
                <w:szCs w:val="18"/>
              </w:rPr>
              <w:t xml:space="preserve">Compare quantities up to 10 in different contexts, recognising when one quantity is greater than, less than or the same as the other quantity. </w:t>
            </w:r>
          </w:p>
          <w:p w:rsidR="00AF7315" w:rsidRPr="00AF7315" w:rsidRDefault="00AF7315" w:rsidP="002D14FE">
            <w:pPr>
              <w:rPr>
                <w:rFonts w:ascii="Arial" w:hAnsi="Arial" w:cs="Arial"/>
                <w:sz w:val="18"/>
                <w:szCs w:val="18"/>
              </w:rPr>
            </w:pPr>
          </w:p>
          <w:p w:rsidR="00743131" w:rsidRPr="00AF7315" w:rsidRDefault="00AF7315" w:rsidP="002D14FE">
            <w:pPr>
              <w:rPr>
                <w:rFonts w:ascii="Arial" w:hAnsi="Arial" w:cs="Arial"/>
                <w:sz w:val="18"/>
                <w:szCs w:val="18"/>
              </w:rPr>
            </w:pPr>
            <w:r w:rsidRPr="00AF7315">
              <w:rPr>
                <w:rFonts w:ascii="Arial" w:hAnsi="Arial" w:cs="Arial"/>
                <w:sz w:val="18"/>
                <w:szCs w:val="18"/>
              </w:rPr>
              <w:t>Explore and represent patterns within numbers up to 10, including evens and odds, double facts and how quantities can be distributed equally.</w:t>
            </w:r>
          </w:p>
          <w:p w:rsidR="00743131" w:rsidRPr="00373B18" w:rsidRDefault="00743131" w:rsidP="002D14FE">
            <w:pPr>
              <w:rPr>
                <w:rFonts w:ascii="Arial" w:hAnsi="Arial" w:cs="Arial"/>
                <w:sz w:val="18"/>
                <w:szCs w:val="18"/>
              </w:rPr>
            </w:pPr>
          </w:p>
          <w:p w:rsidR="00743131" w:rsidRPr="00373B18" w:rsidRDefault="00743131" w:rsidP="002D14FE">
            <w:pPr>
              <w:rPr>
                <w:rFonts w:ascii="Arial" w:hAnsi="Arial" w:cs="Arial"/>
                <w:sz w:val="18"/>
                <w:szCs w:val="18"/>
              </w:rPr>
            </w:pPr>
          </w:p>
          <w:p w:rsidR="00666468" w:rsidRPr="00373B18" w:rsidRDefault="00666468" w:rsidP="002D14FE">
            <w:pPr>
              <w:rPr>
                <w:rFonts w:ascii="Arial" w:hAnsi="Arial" w:cs="Arial"/>
                <w:sz w:val="18"/>
                <w:szCs w:val="18"/>
              </w:rPr>
            </w:pPr>
            <w:r w:rsidRPr="00373B18">
              <w:rPr>
                <w:rFonts w:ascii="Arial" w:hAnsi="Arial" w:cs="Arial"/>
                <w:sz w:val="18"/>
                <w:szCs w:val="18"/>
              </w:rPr>
              <w:t xml:space="preserve">                                                                                                                                                                                                                                                                                                                                                                                                                                                                                                                                                                                                                                                                                                                                                                                                                                                                                                                                                                                                                                                                                                                                                                                                                                                                                                                                                                                                                                                                                                                                                                                                                                                                                                                                                                                                                                                                                                                                                                                                                                                                                                                                                                                                                                                                                                                                                                                                                                                                                                                                                                                                                                                                                                                                                                                                                                                                                                                                                                                                                                                                                                                                                                                                                                                                                                                                                                                                                                                                                                                                                                                                                                                                                                                                                                                                                                                                                                                                                                                                                                                                                                                                                                                                                                                                                                                                                                                                                                                                                                                                                                                                                                                                                                                                                                                                                                                                                                                                                                                                                                                                                                                                                                                                                                                                                                                                                                                                                                                                                                                                                                                                                                                                                                                                                                                                                                                                                                                                                                                                                                                                                                                                                                                                                                                                                                                                                                                                                                                                                                                                                                                                                                                                                                                                                                                                                                                                                                                                                                                                                                                                                                                                                                                                                                                                                                                                                                                                                                                                                                                                                                                                                                                                                                                                                                                                                                                                                                                                                                                                                                                                                                                                                                                                                                                                                                                                                                                                                                                                                                                                                                                                                                                                                                                                                                                                                                                                                                                                                                                                                                                                                                                                                                                                                                                                                                                                                                                                                                                                                     </w:t>
            </w:r>
          </w:p>
        </w:tc>
        <w:tc>
          <w:tcPr>
            <w:tcW w:w="4911" w:type="dxa"/>
          </w:tcPr>
          <w:p w:rsidR="002D14FE" w:rsidRPr="00373B18" w:rsidRDefault="00743131" w:rsidP="002D14FE">
            <w:pPr>
              <w:rPr>
                <w:rFonts w:ascii="Arial" w:hAnsi="Arial" w:cs="Arial"/>
                <w:b/>
                <w:sz w:val="18"/>
                <w:szCs w:val="18"/>
              </w:rPr>
            </w:pPr>
            <w:r w:rsidRPr="00373B18">
              <w:rPr>
                <w:rFonts w:ascii="Arial" w:hAnsi="Arial" w:cs="Arial"/>
                <w:b/>
                <w:sz w:val="18"/>
                <w:szCs w:val="18"/>
              </w:rPr>
              <w:t>Environment</w:t>
            </w:r>
          </w:p>
          <w:p w:rsidR="002D14FE" w:rsidRPr="00373B18" w:rsidRDefault="002D14FE" w:rsidP="002D14FE">
            <w:pPr>
              <w:rPr>
                <w:rFonts w:ascii="Arial" w:hAnsi="Arial" w:cs="Arial"/>
                <w:sz w:val="18"/>
                <w:szCs w:val="18"/>
              </w:rPr>
            </w:pPr>
          </w:p>
          <w:p w:rsidR="00477EC7" w:rsidRDefault="00477EC7" w:rsidP="002D14FE">
            <w:pPr>
              <w:rPr>
                <w:rFonts w:ascii="Arial" w:hAnsi="Arial" w:cs="Arial"/>
                <w:sz w:val="18"/>
                <w:szCs w:val="18"/>
              </w:rPr>
            </w:pPr>
            <w:r>
              <w:rPr>
                <w:rFonts w:ascii="Arial" w:hAnsi="Arial" w:cs="Arial"/>
                <w:sz w:val="18"/>
                <w:szCs w:val="18"/>
              </w:rPr>
              <w:t xml:space="preserve">Our environment has different area of learning in the class, </w:t>
            </w:r>
            <w:proofErr w:type="spellStart"/>
            <w:r>
              <w:rPr>
                <w:rFonts w:ascii="Arial" w:hAnsi="Arial" w:cs="Arial"/>
                <w:sz w:val="18"/>
                <w:szCs w:val="18"/>
              </w:rPr>
              <w:t>eg</w:t>
            </w:r>
            <w:proofErr w:type="spellEnd"/>
            <w:r>
              <w:rPr>
                <w:rFonts w:ascii="Arial" w:hAnsi="Arial" w:cs="Arial"/>
                <w:sz w:val="18"/>
                <w:szCs w:val="18"/>
              </w:rPr>
              <w:t xml:space="preserve"> construction, creative, role play, and within each area there are opportunities to develop math skills and language</w:t>
            </w:r>
            <w:r w:rsidR="00E83702" w:rsidRPr="00373B18">
              <w:rPr>
                <w:rFonts w:ascii="Arial" w:hAnsi="Arial" w:cs="Arial"/>
                <w:sz w:val="18"/>
                <w:szCs w:val="18"/>
              </w:rPr>
              <w:t>.</w:t>
            </w:r>
          </w:p>
          <w:p w:rsidR="00477EC7" w:rsidRDefault="00477EC7" w:rsidP="002D14FE">
            <w:pPr>
              <w:rPr>
                <w:rFonts w:ascii="Arial" w:hAnsi="Arial" w:cs="Arial"/>
                <w:sz w:val="18"/>
                <w:szCs w:val="18"/>
              </w:rPr>
            </w:pPr>
          </w:p>
          <w:p w:rsidR="00477EC7" w:rsidRDefault="00477EC7" w:rsidP="002D14FE">
            <w:pPr>
              <w:rPr>
                <w:rFonts w:ascii="Arial" w:hAnsi="Arial" w:cs="Arial"/>
                <w:sz w:val="18"/>
                <w:szCs w:val="18"/>
              </w:rPr>
            </w:pPr>
            <w:r>
              <w:rPr>
                <w:rFonts w:ascii="Arial" w:hAnsi="Arial" w:cs="Arial"/>
                <w:sz w:val="18"/>
                <w:szCs w:val="18"/>
              </w:rPr>
              <w:t>We have;</w:t>
            </w:r>
          </w:p>
          <w:p w:rsidR="00477EC7" w:rsidRDefault="00477EC7" w:rsidP="002D14FE">
            <w:pPr>
              <w:rPr>
                <w:rFonts w:ascii="Arial" w:hAnsi="Arial" w:cs="Arial"/>
                <w:sz w:val="18"/>
                <w:szCs w:val="18"/>
              </w:rPr>
            </w:pPr>
            <w:r>
              <w:rPr>
                <w:rFonts w:ascii="Arial" w:hAnsi="Arial" w:cs="Arial"/>
                <w:sz w:val="18"/>
                <w:szCs w:val="18"/>
              </w:rPr>
              <w:t>Big and small items</w:t>
            </w:r>
          </w:p>
          <w:p w:rsidR="00477EC7" w:rsidRDefault="00477EC7" w:rsidP="002D14FE">
            <w:pPr>
              <w:rPr>
                <w:rFonts w:ascii="Arial" w:hAnsi="Arial" w:cs="Arial"/>
                <w:sz w:val="18"/>
                <w:szCs w:val="18"/>
              </w:rPr>
            </w:pPr>
            <w:r>
              <w:rPr>
                <w:rFonts w:ascii="Arial" w:hAnsi="Arial" w:cs="Arial"/>
                <w:sz w:val="18"/>
                <w:szCs w:val="18"/>
              </w:rPr>
              <w:t>Scales</w:t>
            </w:r>
          </w:p>
          <w:p w:rsidR="00477EC7" w:rsidRDefault="00477EC7" w:rsidP="002D14FE">
            <w:pPr>
              <w:rPr>
                <w:rFonts w:ascii="Arial" w:hAnsi="Arial" w:cs="Arial"/>
                <w:sz w:val="18"/>
                <w:szCs w:val="18"/>
              </w:rPr>
            </w:pPr>
            <w:r>
              <w:rPr>
                <w:rFonts w:ascii="Arial" w:hAnsi="Arial" w:cs="Arial"/>
                <w:sz w:val="18"/>
                <w:szCs w:val="18"/>
              </w:rPr>
              <w:t>Numicon</w:t>
            </w:r>
          </w:p>
          <w:p w:rsidR="00477EC7" w:rsidRDefault="00477EC7" w:rsidP="002D14FE">
            <w:pPr>
              <w:rPr>
                <w:rFonts w:ascii="Arial" w:hAnsi="Arial" w:cs="Arial"/>
                <w:sz w:val="18"/>
                <w:szCs w:val="18"/>
              </w:rPr>
            </w:pPr>
            <w:r>
              <w:rPr>
                <w:rFonts w:ascii="Arial" w:hAnsi="Arial" w:cs="Arial"/>
                <w:sz w:val="18"/>
                <w:szCs w:val="18"/>
              </w:rPr>
              <w:t xml:space="preserve">Numerals in the environment </w:t>
            </w:r>
          </w:p>
          <w:p w:rsidR="00477EC7" w:rsidRDefault="00477EC7" w:rsidP="002D14FE">
            <w:pPr>
              <w:rPr>
                <w:rFonts w:ascii="Arial" w:hAnsi="Arial" w:cs="Arial"/>
                <w:sz w:val="18"/>
                <w:szCs w:val="18"/>
              </w:rPr>
            </w:pPr>
            <w:r>
              <w:rPr>
                <w:rFonts w:ascii="Arial" w:hAnsi="Arial" w:cs="Arial"/>
                <w:sz w:val="18"/>
                <w:szCs w:val="18"/>
              </w:rPr>
              <w:t>Opportunities to match, collect, form numbers</w:t>
            </w:r>
          </w:p>
          <w:p w:rsidR="00477EC7" w:rsidRDefault="00477EC7" w:rsidP="002D14FE">
            <w:pPr>
              <w:rPr>
                <w:rFonts w:ascii="Arial" w:hAnsi="Arial" w:cs="Arial"/>
                <w:sz w:val="18"/>
                <w:szCs w:val="18"/>
              </w:rPr>
            </w:pPr>
            <w:r>
              <w:rPr>
                <w:rFonts w:ascii="Arial" w:hAnsi="Arial" w:cs="Arial"/>
                <w:sz w:val="18"/>
                <w:szCs w:val="18"/>
              </w:rPr>
              <w:t>Books with math language are available in the different areas as well as our reading area.</w:t>
            </w:r>
          </w:p>
          <w:p w:rsidR="003B76A0" w:rsidRDefault="003B76A0" w:rsidP="002D14FE">
            <w:pPr>
              <w:rPr>
                <w:rFonts w:ascii="Arial" w:hAnsi="Arial" w:cs="Arial"/>
                <w:sz w:val="18"/>
                <w:szCs w:val="18"/>
              </w:rPr>
            </w:pPr>
            <w:r>
              <w:rPr>
                <w:rFonts w:ascii="Arial" w:hAnsi="Arial" w:cs="Arial"/>
                <w:sz w:val="18"/>
                <w:szCs w:val="18"/>
              </w:rPr>
              <w:t xml:space="preserve">During our daily snack and lunch time we use math language, cutting food in half, quarters, asking for more, noticing how many are left </w:t>
            </w:r>
            <w:proofErr w:type="spellStart"/>
            <w:r>
              <w:rPr>
                <w:rFonts w:ascii="Arial" w:hAnsi="Arial" w:cs="Arial"/>
                <w:sz w:val="18"/>
                <w:szCs w:val="18"/>
              </w:rPr>
              <w:t>etc</w:t>
            </w:r>
            <w:proofErr w:type="spellEnd"/>
          </w:p>
          <w:p w:rsidR="00477EC7" w:rsidRDefault="00477EC7" w:rsidP="002D14FE">
            <w:pPr>
              <w:rPr>
                <w:rFonts w:ascii="Arial" w:hAnsi="Arial" w:cs="Arial"/>
                <w:sz w:val="18"/>
                <w:szCs w:val="18"/>
              </w:rPr>
            </w:pPr>
          </w:p>
          <w:p w:rsidR="00477EC7" w:rsidRDefault="00477EC7" w:rsidP="002D14FE">
            <w:pPr>
              <w:rPr>
                <w:rFonts w:ascii="Arial" w:hAnsi="Arial" w:cs="Arial"/>
                <w:sz w:val="18"/>
                <w:szCs w:val="18"/>
              </w:rPr>
            </w:pPr>
            <w:r>
              <w:rPr>
                <w:rFonts w:ascii="Arial" w:hAnsi="Arial" w:cs="Arial"/>
                <w:sz w:val="18"/>
                <w:szCs w:val="18"/>
              </w:rPr>
              <w:t xml:space="preserve">Outside we have maths opportunities on a bigger scale, </w:t>
            </w:r>
            <w:proofErr w:type="spellStart"/>
            <w:r>
              <w:rPr>
                <w:rFonts w:ascii="Arial" w:hAnsi="Arial" w:cs="Arial"/>
                <w:sz w:val="18"/>
                <w:szCs w:val="18"/>
              </w:rPr>
              <w:t>eg</w:t>
            </w:r>
            <w:proofErr w:type="spellEnd"/>
            <w:r>
              <w:rPr>
                <w:rFonts w:ascii="Arial" w:hAnsi="Arial" w:cs="Arial"/>
                <w:sz w:val="18"/>
                <w:szCs w:val="18"/>
              </w:rPr>
              <w:t xml:space="preserve"> large scales, big construction, investigative area to mix or make, large scale water area, with buckets, guttering, pipes, funnels </w:t>
            </w:r>
            <w:proofErr w:type="spellStart"/>
            <w:r>
              <w:rPr>
                <w:rFonts w:ascii="Arial" w:hAnsi="Arial" w:cs="Arial"/>
                <w:sz w:val="18"/>
                <w:szCs w:val="18"/>
              </w:rPr>
              <w:t>etc</w:t>
            </w:r>
            <w:proofErr w:type="spellEnd"/>
            <w:r>
              <w:rPr>
                <w:rFonts w:ascii="Arial" w:hAnsi="Arial" w:cs="Arial"/>
                <w:sz w:val="18"/>
                <w:szCs w:val="18"/>
              </w:rPr>
              <w:t xml:space="preserve"> to develop maths language and skills or pouring, measuring, weighing, matching etc.</w:t>
            </w:r>
          </w:p>
          <w:p w:rsidR="00477EC7" w:rsidRDefault="00477EC7" w:rsidP="002D14FE">
            <w:pPr>
              <w:rPr>
                <w:rFonts w:ascii="Arial" w:hAnsi="Arial" w:cs="Arial"/>
                <w:sz w:val="18"/>
                <w:szCs w:val="18"/>
              </w:rPr>
            </w:pPr>
          </w:p>
          <w:p w:rsidR="00D43F61" w:rsidRPr="00373B18" w:rsidRDefault="00E83702" w:rsidP="002D14FE">
            <w:pPr>
              <w:rPr>
                <w:rFonts w:ascii="Arial" w:hAnsi="Arial" w:cs="Arial"/>
                <w:sz w:val="18"/>
                <w:szCs w:val="18"/>
              </w:rPr>
            </w:pPr>
            <w:r w:rsidRPr="00373B18">
              <w:rPr>
                <w:rFonts w:ascii="Arial" w:hAnsi="Arial" w:cs="Arial"/>
                <w:sz w:val="18"/>
                <w:szCs w:val="18"/>
              </w:rPr>
              <w:t xml:space="preserve"> </w:t>
            </w:r>
          </w:p>
          <w:p w:rsidR="002D14FE" w:rsidRPr="00373B18" w:rsidRDefault="002D14FE" w:rsidP="002D14FE">
            <w:pPr>
              <w:rPr>
                <w:rFonts w:ascii="Arial" w:hAnsi="Arial" w:cs="Arial"/>
                <w:sz w:val="18"/>
                <w:szCs w:val="18"/>
              </w:rPr>
            </w:pPr>
          </w:p>
          <w:p w:rsidR="002D14FE" w:rsidRPr="00373B18" w:rsidRDefault="002D14FE" w:rsidP="002D14FE">
            <w:pPr>
              <w:rPr>
                <w:rFonts w:ascii="Arial" w:hAnsi="Arial" w:cs="Arial"/>
                <w:sz w:val="18"/>
                <w:szCs w:val="18"/>
              </w:rPr>
            </w:pPr>
          </w:p>
        </w:tc>
        <w:tc>
          <w:tcPr>
            <w:tcW w:w="4912" w:type="dxa"/>
          </w:tcPr>
          <w:p w:rsidR="00D43F61" w:rsidRPr="00373B18" w:rsidRDefault="00743131" w:rsidP="002D14FE">
            <w:pPr>
              <w:rPr>
                <w:rFonts w:ascii="Arial" w:hAnsi="Arial" w:cs="Arial"/>
                <w:b/>
                <w:sz w:val="18"/>
                <w:szCs w:val="18"/>
              </w:rPr>
            </w:pPr>
            <w:r w:rsidRPr="00373B18">
              <w:rPr>
                <w:rFonts w:ascii="Arial" w:hAnsi="Arial" w:cs="Arial"/>
                <w:b/>
                <w:sz w:val="18"/>
                <w:szCs w:val="18"/>
              </w:rPr>
              <w:t xml:space="preserve">Role of </w:t>
            </w:r>
            <w:r w:rsidR="00C81DCD" w:rsidRPr="00373B18">
              <w:rPr>
                <w:rFonts w:ascii="Arial" w:hAnsi="Arial" w:cs="Arial"/>
                <w:b/>
                <w:sz w:val="18"/>
                <w:szCs w:val="18"/>
              </w:rPr>
              <w:t>Support staff</w:t>
            </w:r>
          </w:p>
          <w:p w:rsidR="00D43F61" w:rsidRPr="00373B18" w:rsidRDefault="00D43F61" w:rsidP="00D43F61">
            <w:pPr>
              <w:rPr>
                <w:rFonts w:ascii="Arial" w:hAnsi="Arial" w:cs="Arial"/>
                <w:sz w:val="18"/>
                <w:szCs w:val="18"/>
              </w:rPr>
            </w:pPr>
          </w:p>
          <w:p w:rsidR="003B76A0" w:rsidRDefault="00D43F61" w:rsidP="00D43F61">
            <w:pPr>
              <w:rPr>
                <w:rFonts w:ascii="Arial" w:hAnsi="Arial" w:cs="Arial"/>
                <w:sz w:val="18"/>
                <w:szCs w:val="18"/>
              </w:rPr>
            </w:pPr>
            <w:r w:rsidRPr="00373B18">
              <w:rPr>
                <w:rFonts w:ascii="Arial" w:hAnsi="Arial" w:cs="Arial"/>
                <w:sz w:val="18"/>
                <w:szCs w:val="18"/>
              </w:rPr>
              <w:t xml:space="preserve">Our support </w:t>
            </w:r>
            <w:r w:rsidR="00777490">
              <w:rPr>
                <w:rFonts w:ascii="Arial" w:hAnsi="Arial" w:cs="Arial"/>
                <w:sz w:val="18"/>
                <w:szCs w:val="18"/>
              </w:rPr>
              <w:t xml:space="preserve">staff </w:t>
            </w:r>
            <w:bookmarkStart w:id="0" w:name="_GoBack"/>
            <w:bookmarkEnd w:id="0"/>
            <w:r w:rsidR="003B76A0">
              <w:rPr>
                <w:rFonts w:ascii="Arial" w:hAnsi="Arial" w:cs="Arial"/>
                <w:sz w:val="18"/>
                <w:szCs w:val="18"/>
              </w:rPr>
              <w:t xml:space="preserve">are familiar with each area of the environment and the maths focus for the week. They </w:t>
            </w:r>
            <w:r w:rsidRPr="00373B18">
              <w:rPr>
                <w:rFonts w:ascii="Arial" w:hAnsi="Arial" w:cs="Arial"/>
                <w:sz w:val="18"/>
                <w:szCs w:val="18"/>
              </w:rPr>
              <w:t>observe our children interacting with the environment, noticing interests and play schemas. They use knowledge of the children</w:t>
            </w:r>
            <w:r w:rsidR="003B76A0">
              <w:rPr>
                <w:rFonts w:ascii="Arial" w:hAnsi="Arial" w:cs="Arial"/>
                <w:sz w:val="18"/>
                <w:szCs w:val="18"/>
              </w:rPr>
              <w:t xml:space="preserve"> to play alongside in order to support and challenge them based on their next step and the intended maths experience the area is providing.</w:t>
            </w:r>
          </w:p>
          <w:p w:rsidR="00666468" w:rsidRPr="00373B18" w:rsidRDefault="00666468" w:rsidP="00D43F61">
            <w:pPr>
              <w:rPr>
                <w:rFonts w:ascii="Arial" w:hAnsi="Arial" w:cs="Arial"/>
                <w:sz w:val="18"/>
                <w:szCs w:val="18"/>
              </w:rPr>
            </w:pPr>
          </w:p>
          <w:p w:rsidR="00D43F61" w:rsidRPr="00373B18" w:rsidRDefault="00D43F61" w:rsidP="00D43F61">
            <w:pPr>
              <w:rPr>
                <w:rFonts w:ascii="Arial" w:hAnsi="Arial" w:cs="Arial"/>
                <w:sz w:val="18"/>
                <w:szCs w:val="18"/>
              </w:rPr>
            </w:pPr>
          </w:p>
          <w:p w:rsidR="00D43F61" w:rsidRDefault="00D43F61" w:rsidP="0096664C">
            <w:pPr>
              <w:rPr>
                <w:rFonts w:ascii="Arial" w:hAnsi="Arial" w:cs="Arial"/>
                <w:sz w:val="18"/>
                <w:szCs w:val="18"/>
              </w:rPr>
            </w:pPr>
            <w:r w:rsidRPr="00373B18">
              <w:rPr>
                <w:rFonts w:ascii="Arial" w:hAnsi="Arial" w:cs="Arial"/>
                <w:sz w:val="18"/>
                <w:szCs w:val="18"/>
              </w:rPr>
              <w:t xml:space="preserve">Our support staff have </w:t>
            </w:r>
            <w:r w:rsidR="0096664C" w:rsidRPr="00373B18">
              <w:rPr>
                <w:rFonts w:ascii="Arial" w:hAnsi="Arial" w:cs="Arial"/>
                <w:sz w:val="18"/>
                <w:szCs w:val="18"/>
              </w:rPr>
              <w:t xml:space="preserve">ongoing training relating to early child development to equip them with the knowledge needed to understand appropriate strategies and activities for our children </w:t>
            </w:r>
            <w:r w:rsidR="00175870">
              <w:rPr>
                <w:rFonts w:ascii="Arial" w:hAnsi="Arial" w:cs="Arial"/>
                <w:sz w:val="18"/>
                <w:szCs w:val="18"/>
              </w:rPr>
              <w:t xml:space="preserve">to learn in the Concrete, </w:t>
            </w:r>
            <w:proofErr w:type="spellStart"/>
            <w:r w:rsidR="00175870">
              <w:rPr>
                <w:rFonts w:ascii="Arial" w:hAnsi="Arial" w:cs="Arial"/>
                <w:sz w:val="18"/>
                <w:szCs w:val="18"/>
              </w:rPr>
              <w:t>Pictoral</w:t>
            </w:r>
            <w:proofErr w:type="spellEnd"/>
            <w:r w:rsidR="00175870">
              <w:rPr>
                <w:rFonts w:ascii="Arial" w:hAnsi="Arial" w:cs="Arial"/>
                <w:sz w:val="18"/>
                <w:szCs w:val="18"/>
              </w:rPr>
              <w:t>, abstract (CPA) approach.</w:t>
            </w:r>
          </w:p>
          <w:p w:rsidR="00175870" w:rsidRPr="00373B18" w:rsidRDefault="00175870" w:rsidP="0096664C">
            <w:pPr>
              <w:rPr>
                <w:rFonts w:ascii="Arial" w:hAnsi="Arial" w:cs="Arial"/>
                <w:sz w:val="18"/>
                <w:szCs w:val="18"/>
              </w:rPr>
            </w:pPr>
          </w:p>
          <w:p w:rsidR="0096664C" w:rsidRPr="00373B18" w:rsidRDefault="0096664C" w:rsidP="0096664C">
            <w:pPr>
              <w:rPr>
                <w:rFonts w:ascii="Arial" w:hAnsi="Arial" w:cs="Arial"/>
                <w:sz w:val="18"/>
                <w:szCs w:val="18"/>
              </w:rPr>
            </w:pPr>
          </w:p>
          <w:p w:rsidR="00D43F61" w:rsidRPr="00373B18" w:rsidRDefault="00D43F61" w:rsidP="00D43F61">
            <w:pPr>
              <w:rPr>
                <w:rFonts w:ascii="Arial" w:hAnsi="Arial" w:cs="Arial"/>
                <w:sz w:val="18"/>
                <w:szCs w:val="18"/>
              </w:rPr>
            </w:pPr>
          </w:p>
          <w:p w:rsidR="00D43F61" w:rsidRPr="00373B18" w:rsidRDefault="00D43F61" w:rsidP="00D43F61">
            <w:pPr>
              <w:rPr>
                <w:rFonts w:ascii="Arial" w:hAnsi="Arial" w:cs="Arial"/>
                <w:sz w:val="18"/>
                <w:szCs w:val="18"/>
              </w:rPr>
            </w:pPr>
          </w:p>
        </w:tc>
      </w:tr>
      <w:tr w:rsidR="00666468" w:rsidRPr="00743131" w:rsidTr="002D14FE">
        <w:trPr>
          <w:trHeight w:val="2089"/>
        </w:trPr>
        <w:tc>
          <w:tcPr>
            <w:tcW w:w="4911" w:type="dxa"/>
          </w:tcPr>
          <w:p w:rsidR="00666468" w:rsidRDefault="00743131" w:rsidP="002D14FE">
            <w:pPr>
              <w:rPr>
                <w:rFonts w:ascii="Arial" w:hAnsi="Arial" w:cs="Arial"/>
                <w:b/>
                <w:sz w:val="20"/>
                <w:szCs w:val="20"/>
              </w:rPr>
            </w:pPr>
            <w:r w:rsidRPr="00D43F61">
              <w:rPr>
                <w:rFonts w:ascii="Arial" w:hAnsi="Arial" w:cs="Arial"/>
                <w:b/>
                <w:sz w:val="20"/>
                <w:szCs w:val="20"/>
              </w:rPr>
              <w:lastRenderedPageBreak/>
              <w:t>Assessment</w:t>
            </w:r>
          </w:p>
          <w:p w:rsidR="00D43F61" w:rsidRPr="00D43F61" w:rsidRDefault="00D43F61" w:rsidP="002D14FE">
            <w:pPr>
              <w:rPr>
                <w:rFonts w:ascii="Arial" w:hAnsi="Arial" w:cs="Arial"/>
                <w:b/>
                <w:sz w:val="20"/>
                <w:szCs w:val="20"/>
              </w:rPr>
            </w:pPr>
          </w:p>
          <w:p w:rsidR="00064B9E" w:rsidRDefault="00064B9E" w:rsidP="002D14FE">
            <w:pPr>
              <w:rPr>
                <w:rFonts w:ascii="Arial" w:hAnsi="Arial" w:cs="Arial"/>
                <w:sz w:val="18"/>
                <w:szCs w:val="18"/>
              </w:rPr>
            </w:pPr>
          </w:p>
          <w:p w:rsidR="00064B9E" w:rsidRPr="00064B9E" w:rsidRDefault="00064B9E" w:rsidP="00064B9E">
            <w:pPr>
              <w:spacing w:after="160" w:line="259" w:lineRule="auto"/>
              <w:rPr>
                <w:rFonts w:ascii="Arial" w:hAnsi="Arial" w:cs="Arial"/>
                <w:sz w:val="18"/>
                <w:szCs w:val="18"/>
              </w:rPr>
            </w:pPr>
            <w:r w:rsidRPr="00064B9E">
              <w:rPr>
                <w:rFonts w:ascii="Arial" w:hAnsi="Arial" w:cs="Arial"/>
                <w:sz w:val="18"/>
                <w:szCs w:val="18"/>
              </w:rPr>
              <w:t>To guide our planning and identify where each child is at in their developmental journey, we use the new Development matters. For smaller steps of progress within the three prime areas we use an EYFS Developmental Journal.</w:t>
            </w:r>
          </w:p>
          <w:p w:rsidR="00064B9E" w:rsidRPr="00064B9E" w:rsidRDefault="00064B9E" w:rsidP="00064B9E">
            <w:pPr>
              <w:spacing w:after="160" w:line="259" w:lineRule="auto"/>
              <w:rPr>
                <w:rFonts w:ascii="Arial" w:hAnsi="Arial" w:cs="Arial"/>
                <w:sz w:val="18"/>
                <w:szCs w:val="18"/>
              </w:rPr>
            </w:pPr>
            <w:r w:rsidRPr="00064B9E">
              <w:rPr>
                <w:rFonts w:ascii="Arial" w:hAnsi="Arial" w:cs="Arial"/>
                <w:sz w:val="18"/>
                <w:szCs w:val="18"/>
              </w:rPr>
              <w:t>Each student has their individual ‘next steps’ within the seven areas of learning. We use one next step, for Literacy reading, writing and Maths along with next steps for their support and development of life skills. These targets create their bespoke ‘My Plan’ which is reviewed termly in collaboration with families.</w:t>
            </w:r>
          </w:p>
          <w:p w:rsidR="00064B9E" w:rsidRPr="00064B9E" w:rsidRDefault="00064B9E" w:rsidP="00064B9E">
            <w:pPr>
              <w:rPr>
                <w:rFonts w:ascii="Arial" w:hAnsi="Arial" w:cs="Arial"/>
                <w:sz w:val="18"/>
                <w:szCs w:val="18"/>
              </w:rPr>
            </w:pPr>
            <w:r w:rsidRPr="00064B9E">
              <w:rPr>
                <w:rFonts w:ascii="Arial" w:hAnsi="Arial" w:cs="Arial"/>
                <w:sz w:val="18"/>
                <w:szCs w:val="18"/>
              </w:rPr>
              <w:t>Following our assessment, we analyse the data to show us the gaps and strengths of our co</w:t>
            </w:r>
            <w:r w:rsidR="000B4F33">
              <w:rPr>
                <w:rFonts w:ascii="Arial" w:hAnsi="Arial" w:cs="Arial"/>
                <w:sz w:val="18"/>
                <w:szCs w:val="18"/>
              </w:rPr>
              <w:t>hort of children. From this we</w:t>
            </w:r>
            <w:r w:rsidRPr="00064B9E">
              <w:rPr>
                <w:rFonts w:ascii="Arial" w:hAnsi="Arial" w:cs="Arial"/>
                <w:sz w:val="18"/>
                <w:szCs w:val="18"/>
              </w:rPr>
              <w:t xml:space="preserve"> redevelop and enhance our learning environments in order to support and challenge our students based on where their gaps and strengths lie.</w:t>
            </w:r>
          </w:p>
          <w:p w:rsidR="00C81DCD" w:rsidRPr="00B874AD" w:rsidRDefault="00C81DCD" w:rsidP="002D14FE">
            <w:pPr>
              <w:rPr>
                <w:rFonts w:ascii="Arial" w:hAnsi="Arial" w:cs="Arial"/>
                <w:sz w:val="18"/>
                <w:szCs w:val="18"/>
              </w:rPr>
            </w:pPr>
          </w:p>
          <w:p w:rsidR="00064B9E" w:rsidRPr="00064B9E" w:rsidRDefault="00064B9E" w:rsidP="00064B9E">
            <w:pPr>
              <w:spacing w:after="160" w:line="259" w:lineRule="auto"/>
              <w:rPr>
                <w:rFonts w:ascii="Arial" w:hAnsi="Arial" w:cs="Arial"/>
                <w:sz w:val="18"/>
                <w:szCs w:val="18"/>
              </w:rPr>
            </w:pPr>
            <w:r w:rsidRPr="00064B9E">
              <w:rPr>
                <w:rFonts w:ascii="Arial" w:hAnsi="Arial" w:cs="Arial"/>
                <w:sz w:val="18"/>
                <w:szCs w:val="18"/>
              </w:rPr>
              <w:t>Upon entry as an EYFS student, we baseline their starting points according to the new Statutory Reception Baseline Assessment.</w:t>
            </w:r>
          </w:p>
          <w:p w:rsidR="00C81DCD" w:rsidRPr="00743131" w:rsidRDefault="00C81DCD" w:rsidP="00064B9E">
            <w:pPr>
              <w:rPr>
                <w:rFonts w:ascii="Arial" w:hAnsi="Arial" w:cs="Arial"/>
                <w:sz w:val="20"/>
                <w:szCs w:val="20"/>
              </w:rPr>
            </w:pPr>
          </w:p>
        </w:tc>
        <w:tc>
          <w:tcPr>
            <w:tcW w:w="4911" w:type="dxa"/>
          </w:tcPr>
          <w:p w:rsidR="00D43F61" w:rsidRPr="00D43F61" w:rsidRDefault="00743131" w:rsidP="002D14FE">
            <w:pPr>
              <w:rPr>
                <w:rFonts w:ascii="Arial" w:hAnsi="Arial" w:cs="Arial"/>
                <w:b/>
                <w:sz w:val="20"/>
                <w:szCs w:val="20"/>
              </w:rPr>
            </w:pPr>
            <w:r w:rsidRPr="00D43F61">
              <w:rPr>
                <w:rFonts w:ascii="Arial" w:hAnsi="Arial" w:cs="Arial"/>
                <w:b/>
                <w:sz w:val="20"/>
                <w:szCs w:val="20"/>
              </w:rPr>
              <w:t>Observations</w:t>
            </w:r>
          </w:p>
          <w:p w:rsidR="00D43F61" w:rsidRDefault="00D43F61" w:rsidP="00D43F61">
            <w:pPr>
              <w:rPr>
                <w:rFonts w:ascii="Arial" w:hAnsi="Arial" w:cs="Arial"/>
                <w:sz w:val="20"/>
                <w:szCs w:val="20"/>
              </w:rPr>
            </w:pPr>
          </w:p>
          <w:p w:rsidR="00D43F61" w:rsidRDefault="00D43F61" w:rsidP="00D43F61">
            <w:pPr>
              <w:rPr>
                <w:rFonts w:ascii="Arial" w:hAnsi="Arial" w:cs="Arial"/>
                <w:sz w:val="18"/>
                <w:szCs w:val="18"/>
              </w:rPr>
            </w:pPr>
            <w:r>
              <w:rPr>
                <w:rFonts w:ascii="Arial" w:hAnsi="Arial" w:cs="Arial"/>
                <w:sz w:val="18"/>
                <w:szCs w:val="18"/>
              </w:rPr>
              <w:t xml:space="preserve">We observe child led </w:t>
            </w:r>
            <w:r w:rsidR="00E83702">
              <w:rPr>
                <w:rFonts w:ascii="Arial" w:hAnsi="Arial" w:cs="Arial"/>
                <w:sz w:val="18"/>
                <w:szCs w:val="18"/>
              </w:rPr>
              <w:t>play</w:t>
            </w:r>
            <w:r>
              <w:rPr>
                <w:rFonts w:ascii="Arial" w:hAnsi="Arial" w:cs="Arial"/>
                <w:sz w:val="18"/>
                <w:szCs w:val="18"/>
              </w:rPr>
              <w:t xml:space="preserve"> throughout the day as well as </w:t>
            </w:r>
            <w:r w:rsidR="00B874AD">
              <w:rPr>
                <w:rFonts w:ascii="Arial" w:hAnsi="Arial" w:cs="Arial"/>
                <w:sz w:val="18"/>
                <w:szCs w:val="18"/>
              </w:rPr>
              <w:t>assessing our adult led activities, enabling us to reflect on the learning and develop next steps.</w:t>
            </w:r>
          </w:p>
          <w:p w:rsidR="00D43F61" w:rsidRDefault="00D43F61" w:rsidP="00D43F61">
            <w:pPr>
              <w:rPr>
                <w:rFonts w:ascii="Arial" w:hAnsi="Arial" w:cs="Arial"/>
                <w:sz w:val="18"/>
                <w:szCs w:val="18"/>
              </w:rPr>
            </w:pPr>
          </w:p>
          <w:p w:rsidR="00666468" w:rsidRDefault="00D43F61" w:rsidP="00D43F61">
            <w:pPr>
              <w:rPr>
                <w:rFonts w:ascii="Arial" w:hAnsi="Arial" w:cs="Arial"/>
                <w:sz w:val="18"/>
                <w:szCs w:val="18"/>
              </w:rPr>
            </w:pPr>
            <w:r w:rsidRPr="00D43F61">
              <w:rPr>
                <w:rFonts w:ascii="Arial" w:hAnsi="Arial" w:cs="Arial"/>
                <w:sz w:val="18"/>
                <w:szCs w:val="18"/>
              </w:rPr>
              <w:t xml:space="preserve">All observations are recorded on our Evidence for Learning assessment tool, providing a learning journey for each pupil within this area. This is also shared with our families, giving them an important </w:t>
            </w:r>
            <w:r>
              <w:rPr>
                <w:rFonts w:ascii="Arial" w:hAnsi="Arial" w:cs="Arial"/>
                <w:sz w:val="18"/>
                <w:szCs w:val="18"/>
              </w:rPr>
              <w:t>insight into their child’s learning and progress.</w:t>
            </w:r>
          </w:p>
          <w:p w:rsidR="00D43F61" w:rsidRPr="00D43F61" w:rsidRDefault="00D43F61" w:rsidP="00D43F61">
            <w:pPr>
              <w:rPr>
                <w:rFonts w:ascii="Arial" w:hAnsi="Arial" w:cs="Arial"/>
                <w:sz w:val="20"/>
                <w:szCs w:val="20"/>
              </w:rPr>
            </w:pPr>
          </w:p>
        </w:tc>
        <w:tc>
          <w:tcPr>
            <w:tcW w:w="4912" w:type="dxa"/>
          </w:tcPr>
          <w:p w:rsidR="00743131" w:rsidRPr="00D43F61" w:rsidRDefault="00743131" w:rsidP="002D14FE">
            <w:pPr>
              <w:rPr>
                <w:rFonts w:ascii="Arial" w:hAnsi="Arial" w:cs="Arial"/>
                <w:b/>
                <w:sz w:val="20"/>
                <w:szCs w:val="20"/>
              </w:rPr>
            </w:pPr>
            <w:r w:rsidRPr="00D43F61">
              <w:rPr>
                <w:rFonts w:ascii="Arial" w:hAnsi="Arial" w:cs="Arial"/>
                <w:b/>
                <w:sz w:val="20"/>
                <w:szCs w:val="20"/>
              </w:rPr>
              <w:t>Awareness Days</w:t>
            </w:r>
          </w:p>
          <w:p w:rsidR="00743131" w:rsidRPr="00743131" w:rsidRDefault="00743131" w:rsidP="002D14FE">
            <w:pPr>
              <w:rPr>
                <w:rFonts w:ascii="Arial" w:hAnsi="Arial" w:cs="Arial"/>
                <w:sz w:val="20"/>
                <w:szCs w:val="20"/>
              </w:rPr>
            </w:pPr>
          </w:p>
          <w:p w:rsidR="00743131" w:rsidRPr="00B874AD" w:rsidRDefault="00B874AD" w:rsidP="002D14FE">
            <w:pPr>
              <w:rPr>
                <w:rFonts w:ascii="Arial" w:hAnsi="Arial" w:cs="Arial"/>
                <w:sz w:val="18"/>
                <w:szCs w:val="18"/>
              </w:rPr>
            </w:pPr>
            <w:r>
              <w:rPr>
                <w:rFonts w:ascii="Arial" w:hAnsi="Arial" w:cs="Arial"/>
                <w:sz w:val="18"/>
                <w:szCs w:val="18"/>
              </w:rPr>
              <w:t xml:space="preserve">Through our celebrations and marking of awareness days, we promote </w:t>
            </w:r>
            <w:r w:rsidR="003B76A0">
              <w:rPr>
                <w:rFonts w:ascii="Arial" w:hAnsi="Arial" w:cs="Arial"/>
                <w:sz w:val="18"/>
                <w:szCs w:val="18"/>
              </w:rPr>
              <w:t>maths</w:t>
            </w:r>
            <w:r>
              <w:rPr>
                <w:rFonts w:ascii="Arial" w:hAnsi="Arial" w:cs="Arial"/>
                <w:sz w:val="18"/>
                <w:szCs w:val="18"/>
              </w:rPr>
              <w:t xml:space="preserve"> opportunities according to the event. </w:t>
            </w:r>
            <w:proofErr w:type="spellStart"/>
            <w:r>
              <w:rPr>
                <w:rFonts w:ascii="Arial" w:hAnsi="Arial" w:cs="Arial"/>
                <w:sz w:val="18"/>
                <w:szCs w:val="18"/>
              </w:rPr>
              <w:t>Eg</w:t>
            </w:r>
            <w:proofErr w:type="spellEnd"/>
            <w:r>
              <w:rPr>
                <w:rFonts w:ascii="Arial" w:hAnsi="Arial" w:cs="Arial"/>
                <w:sz w:val="18"/>
                <w:szCs w:val="18"/>
              </w:rPr>
              <w:t xml:space="preserve">; </w:t>
            </w:r>
            <w:r w:rsidR="003B76A0">
              <w:rPr>
                <w:rFonts w:ascii="Arial" w:hAnsi="Arial" w:cs="Arial"/>
                <w:sz w:val="18"/>
                <w:szCs w:val="18"/>
              </w:rPr>
              <w:t>celebrating birthdays, making cards with numbers on, celebrating our favourite numbers</w:t>
            </w:r>
            <w:r w:rsidR="00E83702">
              <w:rPr>
                <w:rFonts w:ascii="Arial" w:hAnsi="Arial" w:cs="Arial"/>
                <w:sz w:val="18"/>
                <w:szCs w:val="18"/>
              </w:rPr>
              <w:t>.</w:t>
            </w: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p w:rsidR="00743131" w:rsidRPr="00743131" w:rsidRDefault="00743131" w:rsidP="002D14FE">
            <w:pPr>
              <w:rPr>
                <w:rFonts w:ascii="Arial" w:hAnsi="Arial" w:cs="Arial"/>
                <w:sz w:val="20"/>
                <w:szCs w:val="20"/>
              </w:rPr>
            </w:pPr>
          </w:p>
        </w:tc>
      </w:tr>
    </w:tbl>
    <w:p w:rsidR="00D53776" w:rsidRPr="00743131" w:rsidRDefault="00D53776" w:rsidP="00743131">
      <w:pPr>
        <w:jc w:val="center"/>
        <w:rPr>
          <w:rFonts w:ascii="Arial" w:hAnsi="Arial" w:cs="Arial"/>
        </w:rPr>
      </w:pPr>
    </w:p>
    <w:sectPr w:rsidR="00D53776" w:rsidRPr="00743131" w:rsidSect="006664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68"/>
    <w:rsid w:val="00064B9E"/>
    <w:rsid w:val="000B4F33"/>
    <w:rsid w:val="00121361"/>
    <w:rsid w:val="00175870"/>
    <w:rsid w:val="002D14FE"/>
    <w:rsid w:val="00373B18"/>
    <w:rsid w:val="003B76A0"/>
    <w:rsid w:val="00477EC7"/>
    <w:rsid w:val="00666468"/>
    <w:rsid w:val="00743131"/>
    <w:rsid w:val="00777490"/>
    <w:rsid w:val="0096664C"/>
    <w:rsid w:val="00A43B98"/>
    <w:rsid w:val="00AF7315"/>
    <w:rsid w:val="00B874AD"/>
    <w:rsid w:val="00C81DCD"/>
    <w:rsid w:val="00D43F61"/>
    <w:rsid w:val="00D53776"/>
    <w:rsid w:val="00E83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C2C1"/>
  <w15:chartTrackingRefBased/>
  <w15:docId w15:val="{7A043C71-3ADF-4E2C-83BF-CB6B2FC8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Abbot's Lea School</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itadmin</cp:lastModifiedBy>
  <cp:revision>4</cp:revision>
  <dcterms:created xsi:type="dcterms:W3CDTF">2021-10-17T11:55:00Z</dcterms:created>
  <dcterms:modified xsi:type="dcterms:W3CDTF">2021-10-17T15:21:00Z</dcterms:modified>
</cp:coreProperties>
</file>