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4A6B"/>
          <w:sz w:val="22"/>
        </w:rPr>
        <w:t>ABBOT’S LEA SCHOOL</w:t>
      </w:r>
    </w:p>
    <w:p>
      <w:pPr>
        <w:jc w:val="center"/>
      </w:pPr>
      <w:r>
        <w:rPr>
          <w:b/>
          <w:color w:val="E9B6C7"/>
          <w:sz w:val="22"/>
        </w:rPr>
        <w:t>BESPOKE EXPLORERS</w:t>
      </w:r>
    </w:p>
    <w:p>
      <w:pPr>
        <w:pStyle w:val="Title"/>
        <w:jc w:val="center"/>
      </w:pPr>
      <w:r>
        <w:t>Communication and Interaction</w:t>
      </w:r>
    </w:p>
    <w:p>
      <w:pPr>
        <w:spacing w:after="200"/>
        <w:jc w:val="center"/>
      </w:pPr>
      <w:r>
        <w:rPr>
          <w:i/>
          <w:sz w:val="22"/>
        </w:rPr>
        <w:t>A guide for families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What is Communication and Interaction?</w:t>
            </w:r>
            <w:r>
              <w:br/>
              <w:t>Communication remains at the heart of Bespoke Explorers. Students are supported to communicate increasingly purposefully across lessons, routines, play and social experiences. Every student's communication profile is individual and may include spoken language, AAC, visuals, gesture, signing, written language or a combination.</w:t>
            </w:r>
          </w:p>
        </w:tc>
      </w:tr>
    </w:tbl>
    <w:p>
      <w:pPr>
        <w:spacing w:after="20"/>
      </w:pPr>
    </w:p>
    <w:p>
      <w:pPr>
        <w:pStyle w:val="Heading1"/>
      </w:pPr>
      <w:r>
        <w:t>What might my child learn?</w:t>
      </w:r>
    </w:p>
    <w:p>
      <w:pPr>
        <w:pStyle w:val="ListBullet"/>
      </w:pPr>
      <w:r>
        <w:t>Expressing wants, needs, thoughts, opinions and preferences.</w:t>
      </w:r>
    </w:p>
    <w:p>
      <w:pPr>
        <w:pStyle w:val="ListBullet"/>
      </w:pPr>
      <w:r>
        <w:t>Requesting help, asking questions and communicating when something is finished or needs to change.</w:t>
      </w:r>
    </w:p>
    <w:p>
      <w:pPr>
        <w:pStyle w:val="ListBullet"/>
      </w:pPr>
      <w:r>
        <w:t>Commenting, describing experiences and sharing ideas with others.</w:t>
      </w:r>
    </w:p>
    <w:p>
      <w:pPr>
        <w:pStyle w:val="ListBullet"/>
      </w:pPr>
      <w:r>
        <w:t>Understanding increasingly complex communication and following familiar instructions.</w:t>
      </w:r>
    </w:p>
    <w:p>
      <w:pPr>
        <w:pStyle w:val="ListBullet"/>
      </w:pPr>
      <w:r>
        <w:t>Taking part in shared conversations, group learning and interaction with peers.</w:t>
      </w:r>
    </w:p>
    <w:p>
      <w:pPr>
        <w:pStyle w:val="ListBullet"/>
      </w:pPr>
      <w:r>
        <w:t>Using communication across different people, activities and environments with increasing independence.</w:t>
      </w: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30" w:type="dxa"/>
              <w:start w:w="130" w:type="dxa"/>
              <w:bottom w:w="130" w:type="dxa"/>
              <w:end w:w="130" w:type="dxa"/>
            </w:tcMar>
          </w:tcPr>
          <w:p>
            <w:pPr>
              <w:jc w:val="center"/>
            </w:pPr>
            <w:r>
              <w:rPr>
                <w:b/>
                <w:color w:val="FFFFFF"/>
                <w:sz w:val="19"/>
              </w:rPr>
              <w:t>Programme / experience</w:t>
            </w:r>
          </w:p>
        </w:tc>
        <w:tc>
          <w:tcPr>
            <w:tcW w:type="dxa" w:w="3456"/>
            <w:shd w:fill="164A6B"/>
            <w:tcMar>
              <w:top w:w="130" w:type="dxa"/>
              <w:start w:w="130" w:type="dxa"/>
              <w:bottom w:w="130" w:type="dxa"/>
              <w:end w:w="130" w:type="dxa"/>
            </w:tcMar>
          </w:tcPr>
          <w:p>
            <w:pPr>
              <w:jc w:val="center"/>
            </w:pPr>
            <w:r>
              <w:rPr>
                <w:b/>
                <w:color w:val="FFFFFF"/>
                <w:sz w:val="19"/>
              </w:rPr>
              <w:t>Why it matters</w:t>
            </w:r>
          </w:p>
        </w:tc>
        <w:tc>
          <w:tcPr>
            <w:tcW w:type="dxa" w:w="3456"/>
            <w:shd w:fill="164A6B"/>
            <w:tcMar>
              <w:top w:w="130" w:type="dxa"/>
              <w:start w:w="130" w:type="dxa"/>
              <w:bottom w:w="130" w:type="dxa"/>
              <w:end w:w="130" w:type="dxa"/>
            </w:tcMar>
          </w:tcPr>
          <w:p>
            <w:pPr>
              <w:jc w:val="center"/>
            </w:pPr>
            <w:r>
              <w:rPr>
                <w:b/>
                <w:color w:val="FFFFFF"/>
                <w:sz w:val="19"/>
              </w:rPr>
              <w:t>What your child may experience</w:t>
            </w:r>
          </w:p>
        </w:tc>
      </w:tr>
      <w:tr>
        <w:tc>
          <w:tcPr>
            <w:tcW w:type="dxa" w:w="3456"/>
            <w:shd w:fill="DCEAF3"/>
            <w:tcMar>
              <w:top w:w="130" w:type="dxa"/>
              <w:start w:w="130" w:type="dxa"/>
              <w:bottom w:w="130" w:type="dxa"/>
              <w:end w:w="130" w:type="dxa"/>
            </w:tcMar>
            <w:vAlign w:val="top"/>
          </w:tcPr>
          <w:p>
            <w:r>
              <w:rPr>
                <w:sz w:val="18"/>
              </w:rPr>
              <w:t>Core Word Curriculum – My Sensory Classroom</w:t>
            </w:r>
          </w:p>
        </w:tc>
        <w:tc>
          <w:tcPr>
            <w:tcW w:type="dxa" w:w="3456"/>
            <w:shd w:fill="DCEAF3"/>
            <w:tcMar>
              <w:top w:w="130" w:type="dxa"/>
              <w:start w:w="130" w:type="dxa"/>
              <w:bottom w:w="130" w:type="dxa"/>
              <w:end w:w="130" w:type="dxa"/>
            </w:tcMar>
            <w:vAlign w:val="top"/>
          </w:tcPr>
          <w:p>
            <w:r>
              <w:rPr>
                <w:sz w:val="18"/>
              </w:rPr>
              <w:t>Builds flexible communication using useful, high-frequency words.</w:t>
            </w:r>
          </w:p>
        </w:tc>
        <w:tc>
          <w:tcPr>
            <w:tcW w:type="dxa" w:w="3456"/>
            <w:shd w:fill="DCEAF3"/>
            <w:tcMar>
              <w:top w:w="130" w:type="dxa"/>
              <w:start w:w="130" w:type="dxa"/>
              <w:bottom w:w="130" w:type="dxa"/>
              <w:end w:w="130" w:type="dxa"/>
            </w:tcMar>
            <w:vAlign w:val="top"/>
          </w:tcPr>
          <w:p>
            <w:r>
              <w:rPr>
                <w:sz w:val="18"/>
              </w:rPr>
              <w:t>Words such as want, yes, no, help, more, stop, go, open, finished, look and turn are modelled throughout the day using AAC, visuals, gesture, signing and speech.</w:t>
            </w:r>
          </w:p>
        </w:tc>
      </w:tr>
      <w:tr>
        <w:tc>
          <w:tcPr>
            <w:tcW w:type="dxa" w:w="3456"/>
            <w:shd w:fill="FFFFFF"/>
            <w:tcMar>
              <w:top w:w="130" w:type="dxa"/>
              <w:start w:w="130" w:type="dxa"/>
              <w:bottom w:w="130" w:type="dxa"/>
              <w:end w:w="130" w:type="dxa"/>
            </w:tcMar>
            <w:vAlign w:val="top"/>
          </w:tcPr>
          <w:p>
            <w:r>
              <w:rPr>
                <w:sz w:val="18"/>
              </w:rPr>
              <w:t>Bucket Therapy / Attention Autism</w:t>
            </w:r>
          </w:p>
        </w:tc>
        <w:tc>
          <w:tcPr>
            <w:tcW w:type="dxa" w:w="3456"/>
            <w:shd w:fill="FFFFFF"/>
            <w:tcMar>
              <w:top w:w="130" w:type="dxa"/>
              <w:start w:w="130" w:type="dxa"/>
              <w:bottom w:w="130" w:type="dxa"/>
              <w:end w:w="130" w:type="dxa"/>
            </w:tcMar>
            <w:vAlign w:val="top"/>
          </w:tcPr>
          <w:p>
            <w:r>
              <w:rPr>
                <w:sz w:val="18"/>
              </w:rPr>
              <w:t>Develops shared attention, anticipation, engagement and participation.</w:t>
            </w:r>
          </w:p>
        </w:tc>
        <w:tc>
          <w:tcPr>
            <w:tcW w:type="dxa" w:w="3456"/>
            <w:shd w:fill="FFFFFF"/>
            <w:tcMar>
              <w:top w:w="130" w:type="dxa"/>
              <w:start w:w="130" w:type="dxa"/>
              <w:bottom w:w="130" w:type="dxa"/>
              <w:end w:w="130" w:type="dxa"/>
            </w:tcMar>
            <w:vAlign w:val="top"/>
          </w:tcPr>
          <w:p>
            <w:r>
              <w:rPr>
                <w:sz w:val="18"/>
              </w:rPr>
              <w:t>Highly motivating, sensory-rich activities with a clear routine, reduced language demand and opportunities to watch, anticipate, request and join in.</w:t>
            </w:r>
          </w:p>
        </w:tc>
      </w:tr>
      <w:tr>
        <w:tc>
          <w:tcPr>
            <w:tcW w:type="dxa" w:w="3456"/>
            <w:shd w:fill="DCEAF3"/>
            <w:tcMar>
              <w:top w:w="130" w:type="dxa"/>
              <w:start w:w="130" w:type="dxa"/>
              <w:bottom w:w="130" w:type="dxa"/>
              <w:end w:w="130" w:type="dxa"/>
            </w:tcMar>
            <w:vAlign w:val="top"/>
          </w:tcPr>
          <w:p>
            <w:r>
              <w:rPr>
                <w:sz w:val="18"/>
              </w:rPr>
              <w:t>Sensology</w:t>
            </w:r>
          </w:p>
        </w:tc>
        <w:tc>
          <w:tcPr>
            <w:tcW w:type="dxa" w:w="3456"/>
            <w:shd w:fill="DCEAF3"/>
            <w:tcMar>
              <w:top w:w="130" w:type="dxa"/>
              <w:start w:w="130" w:type="dxa"/>
              <w:bottom w:w="130" w:type="dxa"/>
              <w:end w:w="130" w:type="dxa"/>
            </w:tcMar>
            <w:vAlign w:val="top"/>
          </w:tcPr>
          <w:p>
            <w:r>
              <w:rPr>
                <w:sz w:val="18"/>
              </w:rPr>
              <w:t>Supports sensory awareness, anticipation, body awareness and readiness for learning.</w:t>
            </w:r>
          </w:p>
        </w:tc>
        <w:tc>
          <w:tcPr>
            <w:tcW w:type="dxa" w:w="3456"/>
            <w:shd w:fill="DCEAF3"/>
            <w:tcMar>
              <w:top w:w="130" w:type="dxa"/>
              <w:start w:w="130" w:type="dxa"/>
              <w:bottom w:w="130" w:type="dxa"/>
              <w:end w:w="130" w:type="dxa"/>
            </w:tcMar>
            <w:vAlign w:val="top"/>
          </w:tcPr>
          <w:p>
            <w:r>
              <w:rPr>
                <w:sz w:val="18"/>
              </w:rPr>
              <w:t>Predictable experiences involving smell, touch, sound, light, taste and movement, with adults noticing and responding to small communication signals.</w:t>
            </w:r>
          </w:p>
        </w:tc>
      </w:tr>
      <w:tr>
        <w:tc>
          <w:tcPr>
            <w:tcW w:type="dxa" w:w="3456"/>
            <w:shd w:fill="FFFFFF"/>
            <w:tcMar>
              <w:top w:w="130" w:type="dxa"/>
              <w:start w:w="130" w:type="dxa"/>
              <w:bottom w:w="130" w:type="dxa"/>
              <w:end w:w="130" w:type="dxa"/>
            </w:tcMar>
            <w:vAlign w:val="top"/>
          </w:tcPr>
          <w:p>
            <w:r>
              <w:rPr>
                <w:sz w:val="18"/>
              </w:rPr>
              <w:t>What’s in the Box?</w:t>
            </w:r>
          </w:p>
        </w:tc>
        <w:tc>
          <w:tcPr>
            <w:tcW w:type="dxa" w:w="3456"/>
            <w:shd w:fill="FFFFFF"/>
            <w:tcMar>
              <w:top w:w="130" w:type="dxa"/>
              <w:start w:w="130" w:type="dxa"/>
              <w:bottom w:w="130" w:type="dxa"/>
              <w:end w:w="130" w:type="dxa"/>
            </w:tcMar>
            <w:vAlign w:val="top"/>
          </w:tcPr>
          <w:p>
            <w:r>
              <w:rPr>
                <w:sz w:val="18"/>
              </w:rPr>
              <w:t>Creates a predictable opportunity for curiosity, object exploration and adult-led interaction.</w:t>
            </w:r>
          </w:p>
        </w:tc>
        <w:tc>
          <w:tcPr>
            <w:tcW w:type="dxa" w:w="3456"/>
            <w:shd w:fill="FFFFFF"/>
            <w:tcMar>
              <w:top w:w="130" w:type="dxa"/>
              <w:start w:w="130" w:type="dxa"/>
              <w:bottom w:w="130" w:type="dxa"/>
              <w:end w:w="130" w:type="dxa"/>
            </w:tcMar>
            <w:vAlign w:val="top"/>
          </w:tcPr>
          <w:p>
            <w:r>
              <w:rPr>
                <w:sz w:val="18"/>
              </w:rPr>
              <w:t>Motivating objects and sensory resources, with adults using surprise, anticipation, core words, AAC and repeated phrases.</w:t>
            </w:r>
          </w:p>
        </w:tc>
      </w:tr>
    </w:tbl>
    <w:p>
      <w:pPr>
        <w:pStyle w:val="Heading1"/>
      </w:pPr>
      <w:r>
        <w:t>Total Communication</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There is more than one way to communicate</w:t>
            </w:r>
            <w:r>
              <w:br/>
              <w:t>Students may use speech, AAC, visuals, communication boards, gesture, Makaton, signs, written language, facial expression, movement or vocalisation. Adults model communication consistently and provide processing time so students can communicate for many different purposes – not only to request.</w:t>
            </w:r>
          </w:p>
        </w:tc>
      </w:tr>
    </w:tbl>
    <w:p>
      <w:pPr>
        <w:spacing w:after="20"/>
      </w:pPr>
    </w:p>
    <w:p>
      <w:pPr>
        <w:pStyle w:val="Heading1"/>
      </w:pPr>
      <w:r>
        <w:t>Communication in everyday life</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5184"/>
            <w:shd w:fill="164A6B"/>
            <w:tcMar>
              <w:top w:w="130" w:type="dxa"/>
              <w:start w:w="130" w:type="dxa"/>
              <w:bottom w:w="130" w:type="dxa"/>
              <w:end w:w="130" w:type="dxa"/>
            </w:tcMar>
          </w:tcPr>
          <w:p>
            <w:r>
              <w:rPr>
                <w:b/>
                <w:color w:val="FFFFFF"/>
                <w:sz w:val="19"/>
              </w:rPr>
              <w:t>Everyday opportunity</w:t>
            </w:r>
          </w:p>
        </w:tc>
        <w:tc>
          <w:tcPr>
            <w:tcW w:type="dxa" w:w="5184"/>
            <w:shd w:fill="164A6B"/>
            <w:tcMar>
              <w:top w:w="130" w:type="dxa"/>
              <w:start w:w="130" w:type="dxa"/>
              <w:bottom w:w="130" w:type="dxa"/>
              <w:end w:w="130" w:type="dxa"/>
            </w:tcMar>
          </w:tcPr>
          <w:p>
            <w:r>
              <w:rPr>
                <w:b/>
                <w:color w:val="FFFFFF"/>
                <w:sz w:val="19"/>
              </w:rPr>
              <w:t>What we are building</w:t>
            </w:r>
          </w:p>
        </w:tc>
      </w:tr>
      <w:tr>
        <w:tc>
          <w:tcPr>
            <w:tcW w:type="dxa" w:w="5184"/>
            <w:shd w:fill="DCEAF3"/>
            <w:tcMar>
              <w:top w:w="130" w:type="dxa"/>
              <w:start w:w="130" w:type="dxa"/>
              <w:bottom w:w="130" w:type="dxa"/>
              <w:end w:w="130" w:type="dxa"/>
            </w:tcMar>
          </w:tcPr>
          <w:p>
            <w:r>
              <w:rPr>
                <w:sz w:val="18"/>
              </w:rPr>
              <w:t>Choosing</w:t>
            </w:r>
          </w:p>
        </w:tc>
        <w:tc>
          <w:tcPr>
            <w:tcW w:type="dxa" w:w="5184"/>
            <w:shd w:fill="DCEAF3"/>
            <w:tcMar>
              <w:top w:w="130" w:type="dxa"/>
              <w:start w:w="130" w:type="dxa"/>
              <w:bottom w:w="130" w:type="dxa"/>
              <w:end w:w="130" w:type="dxa"/>
            </w:tcMar>
          </w:tcPr>
          <w:p>
            <w:r>
              <w:rPr>
                <w:sz w:val="18"/>
              </w:rPr>
              <w:t>Students are supported to make meaningful choices using their preferred communication method.</w:t>
            </w:r>
          </w:p>
        </w:tc>
      </w:tr>
      <w:tr>
        <w:tc>
          <w:tcPr>
            <w:tcW w:type="dxa" w:w="5184"/>
            <w:shd w:fill="FFFFFF"/>
            <w:tcMar>
              <w:top w:w="130" w:type="dxa"/>
              <w:start w:w="130" w:type="dxa"/>
              <w:bottom w:w="130" w:type="dxa"/>
              <w:end w:w="130" w:type="dxa"/>
            </w:tcMar>
          </w:tcPr>
          <w:p>
            <w:r>
              <w:rPr>
                <w:sz w:val="18"/>
              </w:rPr>
              <w:t>Asking for help</w:t>
            </w:r>
          </w:p>
        </w:tc>
        <w:tc>
          <w:tcPr>
            <w:tcW w:type="dxa" w:w="5184"/>
            <w:shd w:fill="FFFFFF"/>
            <w:tcMar>
              <w:top w:w="130" w:type="dxa"/>
              <w:start w:w="130" w:type="dxa"/>
              <w:bottom w:w="130" w:type="dxa"/>
              <w:end w:w="130" w:type="dxa"/>
            </w:tcMar>
          </w:tcPr>
          <w:p>
            <w:r>
              <w:rPr>
                <w:sz w:val="18"/>
              </w:rPr>
              <w:t>Adults model words, symbols, gestures or AAC that allow students to seek help or clarification.</w:t>
            </w:r>
          </w:p>
        </w:tc>
      </w:tr>
      <w:tr>
        <w:tc>
          <w:tcPr>
            <w:tcW w:type="dxa" w:w="5184"/>
            <w:shd w:fill="DCEAF3"/>
            <w:tcMar>
              <w:top w:w="130" w:type="dxa"/>
              <w:start w:w="130" w:type="dxa"/>
              <w:bottom w:w="130" w:type="dxa"/>
              <w:end w:w="130" w:type="dxa"/>
            </w:tcMar>
          </w:tcPr>
          <w:p>
            <w:r>
              <w:rPr>
                <w:sz w:val="18"/>
              </w:rPr>
              <w:t>Sharing an opinion</w:t>
            </w:r>
          </w:p>
        </w:tc>
        <w:tc>
          <w:tcPr>
            <w:tcW w:type="dxa" w:w="5184"/>
            <w:shd w:fill="DCEAF3"/>
            <w:tcMar>
              <w:top w:w="130" w:type="dxa"/>
              <w:start w:w="130" w:type="dxa"/>
              <w:bottom w:w="130" w:type="dxa"/>
              <w:end w:w="130" w:type="dxa"/>
            </w:tcMar>
          </w:tcPr>
          <w:p>
            <w:r>
              <w:rPr>
                <w:sz w:val="18"/>
              </w:rPr>
              <w:t>Students are encouraged to comment, reject, agree, disagree and express preferences.</w:t>
            </w:r>
          </w:p>
        </w:tc>
      </w:tr>
      <w:tr>
        <w:tc>
          <w:tcPr>
            <w:tcW w:type="dxa" w:w="5184"/>
            <w:shd w:fill="FFFFFF"/>
            <w:tcMar>
              <w:top w:w="130" w:type="dxa"/>
              <w:start w:w="130" w:type="dxa"/>
              <w:bottom w:w="130" w:type="dxa"/>
              <w:end w:w="130" w:type="dxa"/>
            </w:tcMar>
          </w:tcPr>
          <w:p>
            <w:r>
              <w:rPr>
                <w:sz w:val="18"/>
              </w:rPr>
              <w:t>Talking with others</w:t>
            </w:r>
          </w:p>
        </w:tc>
        <w:tc>
          <w:tcPr>
            <w:tcW w:type="dxa" w:w="5184"/>
            <w:shd w:fill="FFFFFF"/>
            <w:tcMar>
              <w:top w:w="130" w:type="dxa"/>
              <w:start w:w="130" w:type="dxa"/>
              <w:bottom w:w="130" w:type="dxa"/>
              <w:end w:w="130" w:type="dxa"/>
            </w:tcMar>
          </w:tcPr>
          <w:p>
            <w:r>
              <w:rPr>
                <w:sz w:val="18"/>
              </w:rPr>
              <w:t>Students practise communication with familiar adults, peers and, where appropriate, less familiar people.</w:t>
            </w:r>
          </w:p>
        </w:tc>
      </w:tr>
      <w:tr>
        <w:tc>
          <w:tcPr>
            <w:tcW w:type="dxa" w:w="5184"/>
            <w:shd w:fill="DCEAF3"/>
            <w:tcMar>
              <w:top w:w="130" w:type="dxa"/>
              <w:start w:w="130" w:type="dxa"/>
              <w:bottom w:w="130" w:type="dxa"/>
              <w:end w:w="130" w:type="dxa"/>
            </w:tcMar>
          </w:tcPr>
          <w:p>
            <w:r>
              <w:rPr>
                <w:sz w:val="18"/>
              </w:rPr>
              <w:t>Using communication elsewhere</w:t>
            </w:r>
          </w:p>
        </w:tc>
        <w:tc>
          <w:tcPr>
            <w:tcW w:type="dxa" w:w="5184"/>
            <w:shd w:fill="DCEAF3"/>
            <w:tcMar>
              <w:top w:w="130" w:type="dxa"/>
              <w:start w:w="130" w:type="dxa"/>
              <w:bottom w:w="130" w:type="dxa"/>
              <w:end w:w="130" w:type="dxa"/>
            </w:tcMar>
          </w:tcPr>
          <w:p>
            <w:r>
              <w:rPr>
                <w:sz w:val="18"/>
              </w:rPr>
              <w:t>Skills are revisited across the classroom, school, home and community.</w:t>
            </w:r>
          </w:p>
        </w:tc>
      </w:tr>
    </w:tbl>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How might we see progress?</w:t>
            </w:r>
            <w:r>
              <w:br/>
              <w:t>Progress may be seen when a student initiates communication more often, uses a wider range of communication purposes, responds to another person, asks for help, comments, shares an experience, communicates a preference or uses their communication system with less adult prompting.</w:t>
            </w:r>
          </w:p>
        </w:tc>
      </w:tr>
    </w:tbl>
    <w:p>
      <w:pPr>
        <w:spacing w:after="20"/>
      </w:pPr>
    </w:p>
    <w:p>
      <w:pPr>
        <w:pStyle w:val="Heading1"/>
      </w:pPr>
      <w:r>
        <w:t>What families may notice</w:t>
      </w:r>
    </w:p>
    <w:p>
      <w:r>
        <w:t>The most successful communication approaches are consistent across the environments in which a student spends time. School can work with families to support shared vocabulary, AAC use, visuals and communication strategies.</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Explorers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2E36D94-6F25-4011-835A-83A108A19A9D}"/>
</file>

<file path=customXml/itemProps3.xml><?xml version="1.0" encoding="utf-8"?>
<ds:datastoreItem xmlns:ds="http://schemas.openxmlformats.org/officeDocument/2006/customXml" ds:itemID="{22CBD4E4-7181-47E1-9671-2ACBF2998152}"/>
</file>

<file path=customXml/itemProps4.xml><?xml version="1.0" encoding="utf-8"?>
<ds:datastoreItem xmlns:ds="http://schemas.openxmlformats.org/officeDocument/2006/customXml" ds:itemID="{93457054-8583-4753-8AB8-77C9659CAA97}"/>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