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4A6B"/>
          <w:sz w:val="22"/>
        </w:rPr>
        <w:t>ABBOT’S LEA SCHOOL</w:t>
      </w:r>
    </w:p>
    <w:p>
      <w:pPr>
        <w:jc w:val="center"/>
      </w:pPr>
      <w:r>
        <w:rPr>
          <w:b/>
          <w:color w:val="E9B6C7"/>
          <w:sz w:val="22"/>
        </w:rPr>
        <w:t>BESPOKE EXPLORERS</w:t>
      </w:r>
    </w:p>
    <w:p>
      <w:pPr>
        <w:pStyle w:val="Title"/>
        <w:jc w:val="center"/>
      </w:pPr>
      <w:r>
        <w:t>Physical and Sensory Development</w:t>
      </w:r>
    </w:p>
    <w:p>
      <w:pPr>
        <w:spacing w:after="200"/>
        <w:jc w:val="center"/>
      </w:pPr>
      <w:r>
        <w:rPr>
          <w:i/>
          <w:sz w:val="22"/>
        </w:rPr>
        <w:t>A guide for families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What is Physical and Sensory Development?</w:t>
            </w:r>
            <w:r>
              <w:br/>
              <w:t>This area supports students to understand and use their bodies, process sensory information, develop movement confidence and build the physical and practical skills needed to participate in everyday life. Activities are adapted to individual sensory, physical and regulation needs.</w:t>
            </w:r>
          </w:p>
        </w:tc>
      </w:tr>
    </w:tbl>
    <w:p>
      <w:pPr>
        <w:spacing w:after="20"/>
      </w:pPr>
    </w:p>
    <w:p>
      <w:pPr>
        <w:pStyle w:val="Heading1"/>
      </w:pPr>
      <w:r>
        <w:t>What might my child learn?</w:t>
      </w:r>
    </w:p>
    <w:p>
      <w:pPr>
        <w:pStyle w:val="ListBullet"/>
      </w:pPr>
      <w:r>
        <w:t>Body awareness, balance, coordination, strength and movement planning.</w:t>
      </w:r>
    </w:p>
    <w:p>
      <w:pPr>
        <w:pStyle w:val="ListBullet"/>
      </w:pPr>
      <w:r>
        <w:t>Fine motor skills such as grasping, releasing, squeezing, threading and using tools.</w:t>
      </w:r>
    </w:p>
    <w:p>
      <w:pPr>
        <w:pStyle w:val="ListBullet"/>
      </w:pPr>
      <w:r>
        <w:t>How movement and sensory experiences can support regulation and readiness for learning.</w:t>
      </w:r>
    </w:p>
    <w:p>
      <w:pPr>
        <w:pStyle w:val="ListBullet"/>
      </w:pPr>
      <w:r>
        <w:t>Confidence and safety when using indoor and outdoor environments.</w:t>
      </w:r>
    </w:p>
    <w:p>
      <w:pPr>
        <w:pStyle w:val="ListBullet"/>
      </w:pPr>
      <w:r>
        <w:t>Practical skills that support everyday independence.</w:t>
      </w:r>
    </w:p>
    <w:p>
      <w:pPr>
        <w:pStyle w:val="ListBullet"/>
      </w:pPr>
      <w:r>
        <w:t>How to participate in physical activities, play and movement experiences alongside others.</w:t>
      </w:r>
    </w:p>
    <w:p>
      <w:pPr>
        <w:pStyle w:val="Heading1"/>
      </w:pPr>
      <w:r>
        <w:t>Key programmes and experiences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3456"/>
            <w:shd w:fill="164A6B"/>
            <w:tcMar>
              <w:top w:w="130" w:type="dxa"/>
              <w:start w:w="130" w:type="dxa"/>
              <w:bottom w:w="130" w:type="dxa"/>
              <w:end w:w="130" w:type="dxa"/>
            </w:tcMar>
          </w:tcPr>
          <w:p>
            <w:pPr>
              <w:jc w:val="center"/>
            </w:pPr>
            <w:r>
              <w:rPr>
                <w:b/>
                <w:color w:val="FFFFFF"/>
                <w:sz w:val="19"/>
              </w:rPr>
              <w:t>Programme / experience</w:t>
            </w:r>
          </w:p>
        </w:tc>
        <w:tc>
          <w:tcPr>
            <w:tcW w:type="dxa" w:w="3456"/>
            <w:shd w:fill="164A6B"/>
            <w:tcMar>
              <w:top w:w="130" w:type="dxa"/>
              <w:start w:w="130" w:type="dxa"/>
              <w:bottom w:w="130" w:type="dxa"/>
              <w:end w:w="130" w:type="dxa"/>
            </w:tcMar>
          </w:tcPr>
          <w:p>
            <w:pPr>
              <w:jc w:val="center"/>
            </w:pPr>
            <w:r>
              <w:rPr>
                <w:b/>
                <w:color w:val="FFFFFF"/>
                <w:sz w:val="19"/>
              </w:rPr>
              <w:t>Why it matters</w:t>
            </w:r>
          </w:p>
        </w:tc>
        <w:tc>
          <w:tcPr>
            <w:tcW w:type="dxa" w:w="3456"/>
            <w:shd w:fill="164A6B"/>
            <w:tcMar>
              <w:top w:w="130" w:type="dxa"/>
              <w:start w:w="130" w:type="dxa"/>
              <w:bottom w:w="130" w:type="dxa"/>
              <w:end w:w="130" w:type="dxa"/>
            </w:tcMar>
          </w:tcPr>
          <w:p>
            <w:pPr>
              <w:jc w:val="center"/>
            </w:pPr>
            <w:r>
              <w:rPr>
                <w:b/>
                <w:color w:val="FFFFFF"/>
                <w:sz w:val="19"/>
              </w:rPr>
              <w:t>What your child may experience</w:t>
            </w:r>
          </w:p>
        </w:tc>
      </w:tr>
      <w:tr>
        <w:tc>
          <w:tcPr>
            <w:tcW w:type="dxa" w:w="3456"/>
            <w:shd w:fill="DCEAF3"/>
            <w:tcMar>
              <w:top w:w="130" w:type="dxa"/>
              <w:start w:w="130" w:type="dxa"/>
              <w:bottom w:w="130" w:type="dxa"/>
              <w:end w:w="130" w:type="dxa"/>
            </w:tcMar>
            <w:vAlign w:val="top"/>
          </w:tcPr>
          <w:p>
            <w:r>
              <w:rPr>
                <w:sz w:val="18"/>
              </w:rPr>
              <w:t>Fine Motor Skills</w:t>
            </w:r>
          </w:p>
        </w:tc>
        <w:tc>
          <w:tcPr>
            <w:tcW w:type="dxa" w:w="3456"/>
            <w:shd w:fill="DCEAF3"/>
            <w:tcMar>
              <w:top w:w="130" w:type="dxa"/>
              <w:start w:w="130" w:type="dxa"/>
              <w:bottom w:w="130" w:type="dxa"/>
              <w:end w:w="130" w:type="dxa"/>
            </w:tcMar>
            <w:vAlign w:val="top"/>
          </w:tcPr>
          <w:p>
            <w:r>
              <w:rPr>
                <w:sz w:val="18"/>
              </w:rPr>
              <w:t>Develops hand strength, coordination, early tool use and practical independence.</w:t>
            </w:r>
          </w:p>
        </w:tc>
        <w:tc>
          <w:tcPr>
            <w:tcW w:type="dxa" w:w="3456"/>
            <w:shd w:fill="DCEAF3"/>
            <w:tcMar>
              <w:top w:w="130" w:type="dxa"/>
              <w:start w:w="130" w:type="dxa"/>
              <w:bottom w:w="130" w:type="dxa"/>
              <w:end w:w="130" w:type="dxa"/>
            </w:tcMar>
            <w:vAlign w:val="top"/>
          </w:tcPr>
          <w:p>
            <w:r>
              <w:rPr>
                <w:sz w:val="18"/>
              </w:rPr>
              <w:t>Playdough, posting, threading, tweezers, tearing, sticking, mark making, water play and opening containers.</w:t>
            </w:r>
          </w:p>
        </w:tc>
      </w:tr>
      <w:tr>
        <w:tc>
          <w:tcPr>
            <w:tcW w:type="dxa" w:w="3456"/>
            <w:shd w:fill="FFFFFF"/>
            <w:tcMar>
              <w:top w:w="130" w:type="dxa"/>
              <w:start w:w="130" w:type="dxa"/>
              <w:bottom w:w="130" w:type="dxa"/>
              <w:end w:w="130" w:type="dxa"/>
            </w:tcMar>
            <w:vAlign w:val="top"/>
          </w:tcPr>
          <w:p>
            <w:r>
              <w:rPr>
                <w:sz w:val="18"/>
              </w:rPr>
              <w:t>PE</w:t>
            </w:r>
          </w:p>
        </w:tc>
        <w:tc>
          <w:tcPr>
            <w:tcW w:type="dxa" w:w="3456"/>
            <w:shd w:fill="FFFFFF"/>
            <w:tcMar>
              <w:top w:w="130" w:type="dxa"/>
              <w:start w:w="130" w:type="dxa"/>
              <w:bottom w:w="130" w:type="dxa"/>
              <w:end w:w="130" w:type="dxa"/>
            </w:tcMar>
            <w:vAlign w:val="top"/>
          </w:tcPr>
          <w:p>
            <w:r>
              <w:rPr>
                <w:sz w:val="18"/>
              </w:rPr>
              <w:t>Builds gross motor confidence, balance, coordination, strength and enjoyment of movement.</w:t>
            </w:r>
          </w:p>
        </w:tc>
        <w:tc>
          <w:tcPr>
            <w:tcW w:type="dxa" w:w="3456"/>
            <w:shd w:fill="FFFFFF"/>
            <w:tcMar>
              <w:top w:w="130" w:type="dxa"/>
              <w:start w:w="130" w:type="dxa"/>
              <w:bottom w:w="130" w:type="dxa"/>
              <w:end w:w="130" w:type="dxa"/>
            </w:tcMar>
            <w:vAlign w:val="top"/>
          </w:tcPr>
          <w:p>
            <w:r>
              <w:rPr>
                <w:sz w:val="18"/>
              </w:rPr>
              <w:t>Movement games, dance, obstacle courses, balls, yoga, climbing, balancing, running, jumping and throwing.</w:t>
            </w:r>
          </w:p>
        </w:tc>
      </w:tr>
      <w:tr>
        <w:tc>
          <w:tcPr>
            <w:tcW w:type="dxa" w:w="3456"/>
            <w:shd w:fill="DCEAF3"/>
            <w:tcMar>
              <w:top w:w="130" w:type="dxa"/>
              <w:start w:w="130" w:type="dxa"/>
              <w:bottom w:w="130" w:type="dxa"/>
              <w:end w:w="130" w:type="dxa"/>
            </w:tcMar>
            <w:vAlign w:val="top"/>
          </w:tcPr>
          <w:p>
            <w:r>
              <w:rPr>
                <w:sz w:val="18"/>
              </w:rPr>
              <w:t>Play Park</w:t>
            </w:r>
          </w:p>
        </w:tc>
        <w:tc>
          <w:tcPr>
            <w:tcW w:type="dxa" w:w="3456"/>
            <w:shd w:fill="DCEAF3"/>
            <w:tcMar>
              <w:top w:w="130" w:type="dxa"/>
              <w:start w:w="130" w:type="dxa"/>
              <w:bottom w:w="130" w:type="dxa"/>
              <w:end w:w="130" w:type="dxa"/>
            </w:tcMar>
            <w:vAlign w:val="top"/>
          </w:tcPr>
          <w:p>
            <w:r>
              <w:rPr>
                <w:sz w:val="18"/>
              </w:rPr>
              <w:t>Provides motivating outdoor movement, exploration, social interaction and regulation.</w:t>
            </w:r>
          </w:p>
        </w:tc>
        <w:tc>
          <w:tcPr>
            <w:tcW w:type="dxa" w:w="3456"/>
            <w:shd w:fill="DCEAF3"/>
            <w:tcMar>
              <w:top w:w="130" w:type="dxa"/>
              <w:start w:w="130" w:type="dxa"/>
              <w:bottom w:w="130" w:type="dxa"/>
              <w:end w:w="130" w:type="dxa"/>
            </w:tcMar>
            <w:vAlign w:val="top"/>
          </w:tcPr>
          <w:p>
            <w:r>
              <w:rPr>
                <w:sz w:val="18"/>
              </w:rPr>
              <w:t>Climbing, sliding, swinging, balancing, crawling, stepping, turn-taking and safe physical exploration.</w:t>
            </w:r>
          </w:p>
        </w:tc>
      </w:tr>
      <w:tr>
        <w:tc>
          <w:tcPr>
            <w:tcW w:type="dxa" w:w="3456"/>
            <w:shd w:fill="FFFFFF"/>
            <w:tcMar>
              <w:top w:w="130" w:type="dxa"/>
              <w:start w:w="130" w:type="dxa"/>
              <w:bottom w:w="130" w:type="dxa"/>
              <w:end w:w="130" w:type="dxa"/>
            </w:tcMar>
            <w:vAlign w:val="top"/>
          </w:tcPr>
          <w:p>
            <w:r>
              <w:rPr>
                <w:sz w:val="18"/>
              </w:rPr>
              <w:t>Bikes and Trikes</w:t>
            </w:r>
          </w:p>
        </w:tc>
        <w:tc>
          <w:tcPr>
            <w:tcW w:type="dxa" w:w="3456"/>
            <w:shd w:fill="FFFFFF"/>
            <w:tcMar>
              <w:top w:w="130" w:type="dxa"/>
              <w:start w:w="130" w:type="dxa"/>
              <w:bottom w:w="130" w:type="dxa"/>
              <w:end w:w="130" w:type="dxa"/>
            </w:tcMar>
            <w:vAlign w:val="top"/>
          </w:tcPr>
          <w:p>
            <w:r>
              <w:rPr>
                <w:sz w:val="18"/>
              </w:rPr>
              <w:t>Develops balance, leg strength, coordination, spatial awareness and independent movement.</w:t>
            </w:r>
          </w:p>
        </w:tc>
        <w:tc>
          <w:tcPr>
            <w:tcW w:type="dxa" w:w="3456"/>
            <w:shd w:fill="FFFFFF"/>
            <w:tcMar>
              <w:top w:w="130" w:type="dxa"/>
              <w:start w:w="130" w:type="dxa"/>
              <w:bottom w:w="130" w:type="dxa"/>
              <w:end w:w="130" w:type="dxa"/>
            </w:tcMar>
            <w:vAlign w:val="top"/>
          </w:tcPr>
          <w:p>
            <w:r>
              <w:rPr>
                <w:sz w:val="18"/>
              </w:rPr>
              <w:t>Pushing, scooting, pedalling, steering, stopping, starting, taking turns and following simple routes.</w:t>
            </w:r>
          </w:p>
        </w:tc>
      </w:tr>
      <w:tr>
        <w:tc>
          <w:tcPr>
            <w:tcW w:type="dxa" w:w="3456"/>
            <w:shd w:fill="DCEAF3"/>
            <w:tcMar>
              <w:top w:w="130" w:type="dxa"/>
              <w:start w:w="130" w:type="dxa"/>
              <w:bottom w:w="130" w:type="dxa"/>
              <w:end w:w="130" w:type="dxa"/>
            </w:tcMar>
            <w:vAlign w:val="top"/>
          </w:tcPr>
          <w:p>
            <w:r>
              <w:rPr>
                <w:sz w:val="18"/>
              </w:rPr>
              <w:t>Swings and Trampolines</w:t>
            </w:r>
          </w:p>
        </w:tc>
        <w:tc>
          <w:tcPr>
            <w:tcW w:type="dxa" w:w="3456"/>
            <w:shd w:fill="DCEAF3"/>
            <w:tcMar>
              <w:top w:w="130" w:type="dxa"/>
              <w:start w:w="130" w:type="dxa"/>
              <w:bottom w:w="130" w:type="dxa"/>
              <w:end w:w="130" w:type="dxa"/>
            </w:tcMar>
            <w:vAlign w:val="top"/>
          </w:tcPr>
          <w:p>
            <w:r>
              <w:rPr>
                <w:sz w:val="18"/>
              </w:rPr>
              <w:t>Provides purposeful movement input that can support regulation and body awareness.</w:t>
            </w:r>
          </w:p>
        </w:tc>
        <w:tc>
          <w:tcPr>
            <w:tcW w:type="dxa" w:w="3456"/>
            <w:shd w:fill="DCEAF3"/>
            <w:tcMar>
              <w:top w:w="130" w:type="dxa"/>
              <w:start w:w="130" w:type="dxa"/>
              <w:bottom w:w="130" w:type="dxa"/>
              <w:end w:w="130" w:type="dxa"/>
            </w:tcMar>
            <w:vAlign w:val="top"/>
          </w:tcPr>
          <w:p>
            <w:r>
              <w:rPr>
                <w:sz w:val="18"/>
              </w:rPr>
              <w:t>Bouncing, rocking, swinging, deep pressure, turn-taking and communicating more or stop.</w:t>
            </w:r>
          </w:p>
        </w:tc>
      </w:tr>
      <w:tr>
        <w:tc>
          <w:tcPr>
            <w:tcW w:type="dxa" w:w="3456"/>
            <w:shd w:fill="FFFFFF"/>
            <w:tcMar>
              <w:top w:w="130" w:type="dxa"/>
              <w:start w:w="130" w:type="dxa"/>
              <w:bottom w:w="130" w:type="dxa"/>
              <w:end w:w="130" w:type="dxa"/>
            </w:tcMar>
            <w:vAlign w:val="top"/>
          </w:tcPr>
          <w:p>
            <w:r>
              <w:rPr>
                <w:sz w:val="18"/>
              </w:rPr>
              <w:t>Sensory Circuits</w:t>
            </w:r>
          </w:p>
        </w:tc>
        <w:tc>
          <w:tcPr>
            <w:tcW w:type="dxa" w:w="3456"/>
            <w:shd w:fill="FFFFFF"/>
            <w:tcMar>
              <w:top w:w="130" w:type="dxa"/>
              <w:start w:w="130" w:type="dxa"/>
              <w:bottom w:w="130" w:type="dxa"/>
              <w:end w:w="130" w:type="dxa"/>
            </w:tcMar>
            <w:vAlign w:val="top"/>
          </w:tcPr>
          <w:p>
            <w:r>
              <w:rPr>
                <w:sz w:val="18"/>
              </w:rPr>
              <w:t>Supports readiness for learning through organised movement.</w:t>
            </w:r>
          </w:p>
        </w:tc>
        <w:tc>
          <w:tcPr>
            <w:tcW w:type="dxa" w:w="3456"/>
            <w:shd w:fill="FFFFFF"/>
            <w:tcMar>
              <w:top w:w="130" w:type="dxa"/>
              <w:start w:w="130" w:type="dxa"/>
              <w:bottom w:w="130" w:type="dxa"/>
              <w:end w:w="130" w:type="dxa"/>
            </w:tcMar>
            <w:vAlign w:val="top"/>
          </w:tcPr>
          <w:p>
            <w:r>
              <w:rPr>
                <w:sz w:val="18"/>
              </w:rPr>
              <w:t>Jumping, crawling, pushing, pulling, balancing, rolling, heavy work, deep pressure and calming activities.</w:t>
            </w:r>
          </w:p>
        </w:tc>
      </w:tr>
      <w:tr>
        <w:tc>
          <w:tcPr>
            <w:tcW w:type="dxa" w:w="3456"/>
            <w:shd w:fill="DCEAF3"/>
            <w:tcMar>
              <w:top w:w="130" w:type="dxa"/>
              <w:start w:w="130" w:type="dxa"/>
              <w:bottom w:w="130" w:type="dxa"/>
              <w:end w:w="130" w:type="dxa"/>
            </w:tcMar>
            <w:vAlign w:val="top"/>
          </w:tcPr>
          <w:p>
            <w:r>
              <w:rPr>
                <w:sz w:val="18"/>
              </w:rPr>
              <w:t>Sensory Cooking</w:t>
            </w:r>
          </w:p>
        </w:tc>
        <w:tc>
          <w:tcPr>
            <w:tcW w:type="dxa" w:w="3456"/>
            <w:shd w:fill="DCEAF3"/>
            <w:tcMar>
              <w:top w:w="130" w:type="dxa"/>
              <w:start w:w="130" w:type="dxa"/>
              <w:bottom w:w="130" w:type="dxa"/>
              <w:end w:w="130" w:type="dxa"/>
            </w:tcMar>
            <w:vAlign w:val="top"/>
          </w:tcPr>
          <w:p>
            <w:r>
              <w:rPr>
                <w:sz w:val="18"/>
              </w:rPr>
              <w:t>Combines sensory exploration with communication, sequencing and independence.</w:t>
            </w:r>
          </w:p>
        </w:tc>
        <w:tc>
          <w:tcPr>
            <w:tcW w:type="dxa" w:w="3456"/>
            <w:shd w:fill="DCEAF3"/>
            <w:tcMar>
              <w:top w:w="130" w:type="dxa"/>
              <w:start w:w="130" w:type="dxa"/>
              <w:bottom w:w="130" w:type="dxa"/>
              <w:end w:w="130" w:type="dxa"/>
            </w:tcMar>
            <w:vAlign w:val="top"/>
          </w:tcPr>
          <w:p>
            <w:r>
              <w:rPr>
                <w:sz w:val="18"/>
              </w:rPr>
              <w:t>Smelling, touching, mixing, pouring, spreading, tasting or safely rejecting different experiences.</w:t>
            </w:r>
          </w:p>
        </w:tc>
      </w:tr>
    </w:tbl>
    <w:p>
      <w:pPr>
        <w:pStyle w:val="Heading1"/>
      </w:pPr>
      <w:r>
        <w:t>Regulation and sensory needs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Regulation before expectation</w:t>
            </w:r>
            <w:r>
              <w:br/>
              <w:t>Students may need movement, sensory input, quiet time or environmental adjustments before they are ready to learn. The curriculum recognises that regulation-focused learning is a vital part of accessing the wider curriculum. During dysregulation, safety, co-regulation and emotional wellbeing take priority.</w:t>
            </w:r>
          </w:p>
        </w:tc>
      </w:tr>
    </w:tbl>
    <w:p>
      <w:pPr>
        <w:spacing w:after="20"/>
      </w:pPr>
    </w:p>
    <w:p>
      <w:pPr>
        <w:pStyle w:val="Heading1"/>
      </w:pPr>
      <w:r>
        <w:t>Outdoor learning</w:t>
      </w:r>
    </w:p>
    <w:p>
      <w:r>
        <w:t>Outdoor opportunities may include Forest School, play park sessions, bikes and trikes, sensory walks, scavenger hunts, gardening, water play, movement exploration, outdoor mark making and practical investigations.</w:t>
      </w:r>
    </w:p>
    <w:tbl>
      <w:tblPr>
        <w:tblW w:type="auto" w:w="0"/>
        <w:jc w:val="center"/>
        <w:tblLook w:firstColumn="1" w:firstRow="1" w:lastColumn="0" w:lastRow="0" w:noHBand="0" w:noVBand="1" w:val="04A0"/>
      </w:tblPr>
      <w:tblGrid>
        <w:gridCol w:w="10368"/>
      </w:tblGrid>
      <w:tr>
        <w:tc>
          <w:tcPr>
            <w:tcW w:type="dxa" w:w="10368"/>
            <w:shd w:fill="F8E8EE"/>
            <w:tcMar>
              <w:top w:w="170" w:type="dxa"/>
              <w:start w:w="170" w:type="dxa"/>
              <w:bottom w:w="170" w:type="dxa"/>
              <w:end w:w="170" w:type="dxa"/>
            </w:tcMar>
          </w:tcPr>
          <w:p>
            <w:r>
              <w:rPr>
                <w:b/>
                <w:color w:val="164A6B"/>
              </w:rPr>
              <w:t>How might we see progress?</w:t>
            </w:r>
            <w:r>
              <w:br/>
              <w:t>Progress may include increased tolerance of sensory experiences, improved balance or coordination, greater confidence using equipment, more purposeful use of hands, increased participation, improved ability to regulate through movement, or completing physical and practical tasks with less adult support.</w:t>
            </w:r>
          </w:p>
        </w:tc>
      </w:tr>
    </w:tbl>
    <w:p>
      <w:pPr>
        <w:spacing w:after="20"/>
      </w:pPr>
    </w:p>
    <w:p>
      <w:pPr>
        <w:pStyle w:val="Heading1"/>
      </w:pPr>
      <w:r>
        <w:t>What families can do at home</w:t>
      </w:r>
    </w:p>
    <w:p>
      <w:pPr>
        <w:pStyle w:val="ListBullet"/>
      </w:pPr>
      <w:r>
        <w:t>Build movement into everyday life through walking, dancing, climbing, carrying and outdoor play.</w:t>
      </w:r>
    </w:p>
    <w:p>
      <w:pPr>
        <w:pStyle w:val="ListBullet"/>
      </w:pPr>
      <w:r>
        <w:t>Offer safe opportunities to develop hand skills through building, playdough, posting, threading or helping with practical tasks.</w:t>
      </w:r>
    </w:p>
    <w:p>
      <w:pPr>
        <w:pStyle w:val="ListBullet"/>
      </w:pPr>
      <w:r>
        <w:t>Notice which sensory experiences help your child feel comfortable, organised and ready to engage.</w:t>
      </w:r>
    </w:p>
    <w:p>
      <w:pPr>
        <w:pStyle w:val="ListBullet"/>
      </w:pPr>
      <w:r>
        <w:t>Celebrate attempts and small steps towards physical independence.</w:t>
      </w:r>
    </w:p>
    <w:sectPr w:rsidR="00FC693F" w:rsidRPr="0006063C" w:rsidSect="00034616">
      <w:footerReference w:type="default" r:id="rId9"/>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77777"/>
        <w:sz w:val="16"/>
      </w:rPr>
      <w:t>Bespoke Explorers • Family Guide • Abbot’s Lea School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437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64A6B"/>
      <w:sz w:val="3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64A6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64A6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4.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E594AFC21F4EB4CB91F18F362E9DF11" ma:contentTypeVersion="11" ma:contentTypeDescription="Create a new document." ma:contentTypeScope="" ma:versionID="f181b703c6ce649c96c0c118ab9ed8cb">
  <xsd:schema xmlns:xsd="http://www.w3.org/2001/XMLSchema" xmlns:xs="http://www.w3.org/2001/XMLSchema" xmlns:p="http://schemas.microsoft.com/office/2006/metadata/properties" xmlns:ns2="df1fc8bd-41ec-43c6-a393-0d465712147e" xmlns:ns3="0a781ac4-0543-40f6-b874-abd2e65f4b8f" targetNamespace="http://schemas.microsoft.com/office/2006/metadata/properties" ma:root="true" ma:fieldsID="0e8edc09161476b75289b665c2ca624a" ns2:_="" ns3:_="">
    <xsd:import namespace="df1fc8bd-41ec-43c6-a393-0d465712147e"/>
    <xsd:import namespace="0a781ac4-0543-40f6-b874-abd2e65f4b8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1fc8bd-41ec-43c6-a393-0d4657121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781ac4-0543-40f6-b874-abd2e65f4b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55463e-a83d-4c80-bcba-9954fa650f77}" ma:internalName="TaxCatchAll" ma:showField="CatchAllData" ma:web="0a781ac4-0543-40f6-b874-abd2e65f4b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f1fc8bd-41ec-43c6-a393-0d465712147e">
      <Terms xmlns="http://schemas.microsoft.com/office/infopath/2007/PartnerControls"/>
    </lcf76f155ced4ddcb4097134ff3c332f>
    <TaxCatchAll xmlns="0a781ac4-0543-40f6-b874-abd2e65f4b8f"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A9A7490-E74E-4A46-990A-C7E7A82CD58D}"/>
</file>

<file path=customXml/itemProps3.xml><?xml version="1.0" encoding="utf-8"?>
<ds:datastoreItem xmlns:ds="http://schemas.openxmlformats.org/officeDocument/2006/customXml" ds:itemID="{1DDA150D-A2AD-491B-B546-D4379ED7EC70}"/>
</file>

<file path=customXml/itemProps4.xml><?xml version="1.0" encoding="utf-8"?>
<ds:datastoreItem xmlns:ds="http://schemas.openxmlformats.org/officeDocument/2006/customXml" ds:itemID="{4611DE94-97A1-468C-9AC1-5DB19ECC5AE2}"/>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0x010100FE594AFC21F4EB4CB91F18F362E9DF11</vt:lpwstr>
  </property>
</Properties>
</file>