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4A6B"/>
          <w:sz w:val="22"/>
        </w:rPr>
        <w:t>ABBOT’S LEA SCHOOL</w:t>
      </w:r>
    </w:p>
    <w:p>
      <w:pPr>
        <w:jc w:val="center"/>
      </w:pPr>
      <w:r>
        <w:rPr>
          <w:b/>
          <w:color w:val="E9B6C7"/>
          <w:sz w:val="22"/>
        </w:rPr>
        <w:t>BESPOKE EXPLORERS</w:t>
      </w:r>
    </w:p>
    <w:p>
      <w:pPr>
        <w:pStyle w:val="Title"/>
        <w:jc w:val="center"/>
      </w:pPr>
      <w:r>
        <w:t>Preparing for Adulthood</w:t>
      </w:r>
    </w:p>
    <w:p>
      <w:pPr>
        <w:spacing w:after="200"/>
        <w:jc w:val="center"/>
      </w:pPr>
      <w:r>
        <w:rPr>
          <w:i/>
          <w:sz w:val="22"/>
        </w:rPr>
        <w:t>A guide for families</w:t>
      </w:r>
    </w:p>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What is Preparing for Adulthood?</w:t>
            </w:r>
            <w:r>
              <w:br/>
              <w:t>Preparing for adulthood is woven throughout Bespoke Explorers from the earliest stages. Students are supported to develop independence, communication, self-advocacy, confidence, self-care, community awareness and meaningful participation in everyday life.</w:t>
            </w:r>
          </w:p>
        </w:tc>
      </w:tr>
    </w:tbl>
    <w:p>
      <w:pPr>
        <w:spacing w:after="20"/>
      </w:pPr>
    </w:p>
    <w:p>
      <w:pPr>
        <w:pStyle w:val="Heading1"/>
      </w:pPr>
      <w:r>
        <w:t>What might my child learn?</w:t>
      </w:r>
    </w:p>
    <w:p>
      <w:pPr>
        <w:pStyle w:val="ListBullet"/>
      </w:pPr>
      <w:r>
        <w:t>Making choices and contributing to decisions.</w:t>
      </w:r>
    </w:p>
    <w:p>
      <w:pPr>
        <w:pStyle w:val="ListBullet"/>
      </w:pPr>
      <w:r>
        <w:t>Completing familiar parts of everyday routines with reduced adult prompting.</w:t>
      </w:r>
    </w:p>
    <w:p>
      <w:pPr>
        <w:pStyle w:val="ListBullet"/>
      </w:pPr>
      <w:r>
        <w:t>Requesting help and communicating needs.</w:t>
      </w:r>
    </w:p>
    <w:p>
      <w:pPr>
        <w:pStyle w:val="ListBullet"/>
      </w:pPr>
      <w:r>
        <w:t>Developing personal care and self-care skills.</w:t>
      </w:r>
    </w:p>
    <w:p>
      <w:pPr>
        <w:pStyle w:val="ListBullet"/>
      </w:pPr>
      <w:r>
        <w:t>Using practical literacy, mathematics and digital skills in meaningful situations.</w:t>
      </w:r>
    </w:p>
    <w:p>
      <w:pPr>
        <w:pStyle w:val="ListBullet"/>
      </w:pPr>
      <w:r>
        <w:t>Navigating familiar environments and community settings safely.</w:t>
      </w:r>
    </w:p>
    <w:p>
      <w:pPr>
        <w:pStyle w:val="ListBullet"/>
      </w:pPr>
      <w:r>
        <w:t>Solving manageable problems and transferring familiar skills to new situations.</w:t>
      </w:r>
    </w:p>
    <w:p>
      <w:pPr>
        <w:pStyle w:val="ListBullet"/>
      </w:pPr>
      <w:r>
        <w:t>Understanding that they can help, contribute and take part in purposeful activities.</w:t>
      </w:r>
    </w:p>
    <w:p>
      <w:pPr>
        <w:pStyle w:val="Heading1"/>
      </w:pPr>
      <w:r>
        <w:t>Key programmes and experiences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shd w:fill="164A6B"/>
            <w:tcMar>
              <w:top w:w="130" w:type="dxa"/>
              <w:start w:w="130" w:type="dxa"/>
              <w:bottom w:w="130" w:type="dxa"/>
              <w:end w:w="130" w:type="dxa"/>
            </w:tcMar>
          </w:tcPr>
          <w:p>
            <w:pPr>
              <w:jc w:val="center"/>
            </w:pPr>
            <w:r>
              <w:rPr>
                <w:b/>
                <w:color w:val="FFFFFF"/>
                <w:sz w:val="19"/>
              </w:rPr>
              <w:t>Programme / experience</w:t>
            </w:r>
          </w:p>
        </w:tc>
        <w:tc>
          <w:tcPr>
            <w:tcW w:type="dxa" w:w="3456"/>
            <w:shd w:fill="164A6B"/>
            <w:tcMar>
              <w:top w:w="130" w:type="dxa"/>
              <w:start w:w="130" w:type="dxa"/>
              <w:bottom w:w="130" w:type="dxa"/>
              <w:end w:w="130" w:type="dxa"/>
            </w:tcMar>
          </w:tcPr>
          <w:p>
            <w:pPr>
              <w:jc w:val="center"/>
            </w:pPr>
            <w:r>
              <w:rPr>
                <w:b/>
                <w:color w:val="FFFFFF"/>
                <w:sz w:val="19"/>
              </w:rPr>
              <w:t>Why it matters</w:t>
            </w:r>
          </w:p>
        </w:tc>
        <w:tc>
          <w:tcPr>
            <w:tcW w:type="dxa" w:w="3456"/>
            <w:shd w:fill="164A6B"/>
            <w:tcMar>
              <w:top w:w="130" w:type="dxa"/>
              <w:start w:w="130" w:type="dxa"/>
              <w:bottom w:w="130" w:type="dxa"/>
              <w:end w:w="130" w:type="dxa"/>
            </w:tcMar>
          </w:tcPr>
          <w:p>
            <w:pPr>
              <w:jc w:val="center"/>
            </w:pPr>
            <w:r>
              <w:rPr>
                <w:b/>
                <w:color w:val="FFFFFF"/>
                <w:sz w:val="19"/>
              </w:rPr>
              <w:t>What your child may experience</w:t>
            </w:r>
          </w:p>
        </w:tc>
      </w:tr>
      <w:tr>
        <w:tc>
          <w:tcPr>
            <w:tcW w:type="dxa" w:w="3456"/>
            <w:shd w:fill="DCEAF3"/>
            <w:tcMar>
              <w:top w:w="130" w:type="dxa"/>
              <w:start w:w="130" w:type="dxa"/>
              <w:bottom w:w="130" w:type="dxa"/>
              <w:end w:w="130" w:type="dxa"/>
            </w:tcMar>
            <w:vAlign w:val="top"/>
          </w:tcPr>
          <w:p>
            <w:r>
              <w:rPr>
                <w:sz w:val="18"/>
              </w:rPr>
              <w:t>Functional Independence</w:t>
            </w:r>
          </w:p>
        </w:tc>
        <w:tc>
          <w:tcPr>
            <w:tcW w:type="dxa" w:w="3456"/>
            <w:shd w:fill="DCEAF3"/>
            <w:tcMar>
              <w:top w:w="130" w:type="dxa"/>
              <w:start w:w="130" w:type="dxa"/>
              <w:bottom w:w="130" w:type="dxa"/>
              <w:end w:w="130" w:type="dxa"/>
            </w:tcMar>
            <w:vAlign w:val="top"/>
          </w:tcPr>
          <w:p>
            <w:r>
              <w:rPr>
                <w:sz w:val="18"/>
              </w:rPr>
              <w:t>Develops practical, communication and self-advocacy skills for everyday life.</w:t>
            </w:r>
          </w:p>
        </w:tc>
        <w:tc>
          <w:tcPr>
            <w:tcW w:type="dxa" w:w="3456"/>
            <w:shd w:fill="DCEAF3"/>
            <w:tcMar>
              <w:top w:w="130" w:type="dxa"/>
              <w:start w:w="130" w:type="dxa"/>
              <w:bottom w:w="130" w:type="dxa"/>
              <w:end w:w="130" w:type="dxa"/>
            </w:tcMar>
            <w:vAlign w:val="top"/>
          </w:tcPr>
          <w:p>
            <w:r>
              <w:rPr>
                <w:sz w:val="18"/>
              </w:rPr>
              <w:t>Daily routines, organising belongings, making choices, completing familiar tasks, problem-solving and practising skills across different contexts.</w:t>
            </w:r>
          </w:p>
        </w:tc>
      </w:tr>
      <w:tr>
        <w:tc>
          <w:tcPr>
            <w:tcW w:type="dxa" w:w="3456"/>
            <w:shd w:fill="FFFFFF"/>
            <w:tcMar>
              <w:top w:w="130" w:type="dxa"/>
              <w:start w:w="130" w:type="dxa"/>
              <w:bottom w:w="130" w:type="dxa"/>
              <w:end w:w="130" w:type="dxa"/>
            </w:tcMar>
            <w:vAlign w:val="top"/>
          </w:tcPr>
          <w:p>
            <w:r>
              <w:rPr>
                <w:sz w:val="18"/>
              </w:rPr>
              <w:t>Brush Bus</w:t>
            </w:r>
          </w:p>
        </w:tc>
        <w:tc>
          <w:tcPr>
            <w:tcW w:type="dxa" w:w="3456"/>
            <w:shd w:fill="FFFFFF"/>
            <w:tcMar>
              <w:top w:w="130" w:type="dxa"/>
              <w:start w:w="130" w:type="dxa"/>
              <w:bottom w:w="130" w:type="dxa"/>
              <w:end w:w="130" w:type="dxa"/>
            </w:tcMar>
            <w:vAlign w:val="top"/>
          </w:tcPr>
          <w:p>
            <w:r>
              <w:rPr>
                <w:sz w:val="18"/>
              </w:rPr>
              <w:t>Builds oral health, hygiene and independence with toothbrushing.</w:t>
            </w:r>
          </w:p>
        </w:tc>
        <w:tc>
          <w:tcPr>
            <w:tcW w:type="dxa" w:w="3456"/>
            <w:shd w:fill="FFFFFF"/>
            <w:tcMar>
              <w:top w:w="130" w:type="dxa"/>
              <w:start w:w="130" w:type="dxa"/>
              <w:bottom w:w="130" w:type="dxa"/>
              <w:end w:w="130" w:type="dxa"/>
            </w:tcMar>
            <w:vAlign w:val="top"/>
          </w:tcPr>
          <w:p>
            <w:r>
              <w:rPr>
                <w:sz w:val="18"/>
              </w:rPr>
              <w:t>Visual supports, modelling, repetition and sensitive adult scaffolding, with students gradually completing more steps.</w:t>
            </w:r>
          </w:p>
        </w:tc>
      </w:tr>
      <w:tr>
        <w:tc>
          <w:tcPr>
            <w:tcW w:type="dxa" w:w="3456"/>
            <w:shd w:fill="DCEAF3"/>
            <w:tcMar>
              <w:top w:w="130" w:type="dxa"/>
              <w:start w:w="130" w:type="dxa"/>
              <w:bottom w:w="130" w:type="dxa"/>
              <w:end w:w="130" w:type="dxa"/>
            </w:tcMar>
            <w:vAlign w:val="top"/>
          </w:tcPr>
          <w:p>
            <w:r>
              <w:rPr>
                <w:sz w:val="18"/>
              </w:rPr>
              <w:t>Careers at Every Level</w:t>
            </w:r>
          </w:p>
        </w:tc>
        <w:tc>
          <w:tcPr>
            <w:tcW w:type="dxa" w:w="3456"/>
            <w:shd w:fill="DCEAF3"/>
            <w:tcMar>
              <w:top w:w="130" w:type="dxa"/>
              <w:start w:w="130" w:type="dxa"/>
              <w:bottom w:w="130" w:type="dxa"/>
              <w:end w:w="130" w:type="dxa"/>
            </w:tcMar>
            <w:vAlign w:val="top"/>
          </w:tcPr>
          <w:p>
            <w:r>
              <w:rPr>
                <w:sz w:val="18"/>
              </w:rPr>
              <w:t>Introduces early awareness of roles, responsibility, helping and contribution.</w:t>
            </w:r>
          </w:p>
        </w:tc>
        <w:tc>
          <w:tcPr>
            <w:tcW w:type="dxa" w:w="3456"/>
            <w:shd w:fill="DCEAF3"/>
            <w:tcMar>
              <w:top w:w="130" w:type="dxa"/>
              <w:start w:w="130" w:type="dxa"/>
              <w:bottom w:w="130" w:type="dxa"/>
              <w:end w:w="130" w:type="dxa"/>
            </w:tcMar>
            <w:vAlign w:val="top"/>
          </w:tcPr>
          <w:p>
            <w:r>
              <w:rPr>
                <w:sz w:val="18"/>
              </w:rPr>
              <w:t>Classroom jobs, helping routines, community heroes, role play, visitors, visits and practical tasks.</w:t>
            </w:r>
          </w:p>
        </w:tc>
      </w:tr>
      <w:tr>
        <w:tc>
          <w:tcPr>
            <w:tcW w:type="dxa" w:w="3456"/>
            <w:shd w:fill="FFFFFF"/>
            <w:tcMar>
              <w:top w:w="130" w:type="dxa"/>
              <w:start w:w="130" w:type="dxa"/>
              <w:bottom w:w="130" w:type="dxa"/>
              <w:end w:w="130" w:type="dxa"/>
            </w:tcMar>
            <w:vAlign w:val="top"/>
          </w:tcPr>
          <w:p>
            <w:r>
              <w:rPr>
                <w:sz w:val="18"/>
              </w:rPr>
              <w:t>My Community – visits</w:t>
            </w:r>
          </w:p>
        </w:tc>
        <w:tc>
          <w:tcPr>
            <w:tcW w:type="dxa" w:w="3456"/>
            <w:shd w:fill="FFFFFF"/>
            <w:tcMar>
              <w:top w:w="130" w:type="dxa"/>
              <w:start w:w="130" w:type="dxa"/>
              <w:bottom w:w="130" w:type="dxa"/>
              <w:end w:w="130" w:type="dxa"/>
            </w:tcMar>
            <w:vAlign w:val="top"/>
          </w:tcPr>
          <w:p>
            <w:r>
              <w:rPr>
                <w:sz w:val="18"/>
              </w:rPr>
              <w:t>Builds confidence and real-life learning beyond the classroom.</w:t>
            </w:r>
          </w:p>
        </w:tc>
        <w:tc>
          <w:tcPr>
            <w:tcW w:type="dxa" w:w="3456"/>
            <w:shd w:fill="FFFFFF"/>
            <w:tcMar>
              <w:top w:w="130" w:type="dxa"/>
              <w:start w:w="130" w:type="dxa"/>
              <w:bottom w:w="130" w:type="dxa"/>
              <w:end w:w="130" w:type="dxa"/>
            </w:tcMar>
            <w:vAlign w:val="top"/>
          </w:tcPr>
          <w:p>
            <w:r>
              <w:rPr>
                <w:sz w:val="18"/>
              </w:rPr>
              <w:t>Short, purposeful and risk-assessed community experiences, including community drives and visits matched to individual needs.</w:t>
            </w:r>
          </w:p>
        </w:tc>
      </w:tr>
    </w:tbl>
    <w:p>
      <w:pPr>
        <w:pStyle w:val="Heading1"/>
      </w:pPr>
      <w:r>
        <w:t>Independence means participation</w:t>
      </w:r>
    </w:p>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Independence does not mean doing everything alone</w:t>
            </w:r>
            <w:r>
              <w:br/>
              <w:t>The manual defines independence as being able to participate as fully as possible, make decisions, communicate needs and use appropriate strategies to achieve a meaningful outcome. Students may still need adult support, but they are increasingly encouraged to attempt familiar tasks, solve manageable problems and use visual or environmental prompts.</w:t>
            </w:r>
          </w:p>
        </w:tc>
      </w:tr>
    </w:tbl>
    <w:p>
      <w:pPr>
        <w:spacing w:after="20"/>
      </w:pPr>
    </w:p>
    <w:p>
      <w:pPr>
        <w:pStyle w:val="Heading1"/>
      </w:pPr>
      <w:r>
        <w:t>Community learning</w:t>
      </w:r>
    </w:p>
    <w:p>
      <w:r>
        <w:t>Community experiences help students practise communication, regulation, decision-making and independence in real-life settings. Community drives and visits can be adapted to individual needs, including shorter or lower-demand experiences where this is the safest and most meaningful starting point.</w:t>
      </w:r>
    </w:p>
    <w:p>
      <w:pPr>
        <w:pStyle w:val="Heading1"/>
      </w:pPr>
      <w:r>
        <w:t>Careers and contribution</w:t>
      </w:r>
    </w:p>
    <w:p>
      <w:r>
        <w:t>Careers education begins with the foundations of adulthood rather than formal career choices. Students explore purpose, participation, responsibility and contribution through classroom jobs, helping others, role play, community experiences and learning about people who help us.</w:t>
      </w:r>
    </w:p>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How might we see progress?</w:t>
            </w:r>
            <w:r>
              <w:br/>
              <w:t>Progress may include making a choice, starting a familiar task, completing part of a routine, requesting help, communicating a need, managing a transition, recognising a familiar place, solving a simple practical problem, participating more independently or using a familiar skill in another environment.</w:t>
            </w:r>
          </w:p>
        </w:tc>
      </w:tr>
    </w:tbl>
    <w:p>
      <w:pPr>
        <w:spacing w:after="20"/>
      </w:pPr>
    </w:p>
    <w:p>
      <w:pPr>
        <w:pStyle w:val="Heading1"/>
      </w:pPr>
      <w:r>
        <w:t>What families can do at home</w:t>
      </w:r>
    </w:p>
    <w:p>
      <w:pPr>
        <w:pStyle w:val="ListBullet"/>
      </w:pPr>
      <w:r>
        <w:t>Give your child time to attempt familiar routines before stepping in.</w:t>
      </w:r>
    </w:p>
    <w:p>
      <w:pPr>
        <w:pStyle w:val="ListBullet"/>
      </w:pPr>
      <w:r>
        <w:t>Offer meaningful choices, such as what to wear, which activity to do or which item to use.</w:t>
      </w:r>
    </w:p>
    <w:p>
      <w:pPr>
        <w:pStyle w:val="ListBullet"/>
      </w:pPr>
      <w:r>
        <w:t>Encourage your child to help with everyday jobs such as putting belongings away, preparing food or tidying.</w:t>
      </w:r>
    </w:p>
    <w:p>
      <w:pPr>
        <w:pStyle w:val="ListBullet"/>
      </w:pPr>
      <w:r>
        <w:t>Practise familiar safety and community routines in small, supported steps.</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Bespoke Explorers • Family Guide • Abbot’s Lea School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64A6B"/>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164A6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64A6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F1BBA25-2309-481A-B060-7580638EA6D1}"/>
</file>

<file path=customXml/itemProps3.xml><?xml version="1.0" encoding="utf-8"?>
<ds:datastoreItem xmlns:ds="http://schemas.openxmlformats.org/officeDocument/2006/customXml" ds:itemID="{C37B1B38-A93E-4821-A7B2-C025E0D8FABC}"/>
</file>

<file path=customXml/itemProps4.xml><?xml version="1.0" encoding="utf-8"?>
<ds:datastoreItem xmlns:ds="http://schemas.openxmlformats.org/officeDocument/2006/customXml" ds:itemID="{0CC31D71-C119-4CBF-AD95-713A6958639D}"/>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ies>
</file>