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word/numbering.xml" ContentType="application/vnd.openxmlformats-officedocument.wordprocessingml.numbering+xml"/>
  <Override PartName="/word/footer1.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color w:val="164A6B"/>
          <w:sz w:val="22"/>
        </w:rPr>
        <w:t>ABBOT’S LEA SCHOOL</w:t>
      </w:r>
    </w:p>
    <w:p>
      <w:pPr>
        <w:spacing w:after="0"/>
        <w:jc w:val="center"/>
      </w:pPr>
      <w:r>
        <w:rPr>
          <w:b/>
          <w:color w:val="E9B6C7"/>
          <w:sz w:val="22"/>
        </w:rPr>
        <w:t>BESPOKE FOUNDATIONS</w:t>
      </w:r>
    </w:p>
    <w:p>
      <w:pPr>
        <w:pStyle w:val="Title"/>
        <w:jc w:val="center"/>
      </w:pPr>
      <w:r>
        <w:t>Cognition and Learning</w:t>
      </w:r>
    </w:p>
    <w:p>
      <w:pPr>
        <w:spacing w:after="200"/>
        <w:jc w:val="center"/>
      </w:pPr>
      <w:r>
        <w:rPr>
          <w:i/>
          <w:color w:val="243746"/>
          <w:sz w:val="22"/>
        </w:rPr>
        <w:t>A guide for families</w:t>
      </w:r>
    </w:p>
    <w:tbl>
      <w:tblPr>
        <w:tblW w:type="auto" w:w="0"/>
        <w:jc w:val="center"/>
        <w:tblLayout w:type="autofit"/>
        <w:tblLook w:firstColumn="1" w:firstRow="1" w:lastColumn="0" w:lastRow="0" w:noHBand="0" w:noVBand="1" w:val="04A0"/>
      </w:tblPr>
      <w:tblGrid>
        <w:gridCol w:w="10368"/>
      </w:tblGrid>
      <w:tr>
        <w:tc>
          <w:tcPr>
            <w:tcW w:type="dxa" w:w="10368"/>
            <w:shd w:fill="F8E8EE"/>
            <w:tcMar>
              <w:top w:w="150" w:type="dxa"/>
              <w:start w:w="180" w:type="dxa"/>
              <w:bottom w:w="150" w:type="dxa"/>
              <w:end w:w="180" w:type="dxa"/>
            </w:tcMar>
          </w:tcPr>
          <w:p>
            <w:r>
              <w:rPr>
                <w:b/>
                <w:color w:val="164A6B"/>
              </w:rPr>
              <w:t>What is Cognition and Learning?</w:t>
            </w:r>
            <w:r>
              <w:br/>
              <w:t>This area helps students develop early thinking, attention, exploration, problem-solving, literacy, phonics and mathematics. Learning is practical and meaningful, with students given repeated opportunities to explore ideas through play, sensory experiences, routines and real-life activities.</w:t>
            </w:r>
          </w:p>
        </w:tc>
      </w:tr>
    </w:tbl>
    <w:p>
      <w:pPr>
        <w:spacing w:after="20"/>
      </w:pPr>
    </w:p>
    <w:p>
      <w:pPr>
        <w:pStyle w:val="Heading1"/>
      </w:pPr>
      <w:r>
        <w:t>What might my child learn?</w:t>
      </w:r>
    </w:p>
    <w:p>
      <w:pPr>
        <w:pStyle w:val="ListBullet"/>
      </w:pPr>
      <w:r>
        <w:t>Early attention, curiosity and engagement with people, objects and activities.</w:t>
      </w:r>
    </w:p>
    <w:p>
      <w:pPr>
        <w:pStyle w:val="ListBullet"/>
      </w:pPr>
      <w:r>
        <w:t>Sorting, matching, counting, shapes, patterns, position, measure and practical problem-solving.</w:t>
      </w:r>
    </w:p>
    <w:p>
      <w:pPr>
        <w:pStyle w:val="ListBullet"/>
      </w:pPr>
      <w:r>
        <w:t>Listening and early phonics skills, including sounds, rhythm, rhyme and environmental sounds.</w:t>
      </w:r>
    </w:p>
    <w:p>
      <w:pPr>
        <w:pStyle w:val="ListBullet"/>
      </w:pPr>
      <w:r>
        <w:t>Early reading and literacy skills through books, sensory stories, symbols, photographs and shared reading.</w:t>
      </w:r>
    </w:p>
    <w:p>
      <w:pPr>
        <w:pStyle w:val="ListBullet"/>
      </w:pPr>
      <w:r>
        <w:t>Mark making and early writing skills, developed alongside fine motor control.</w:t>
      </w:r>
    </w:p>
    <w:p>
      <w:pPr>
        <w:pStyle w:val="ListBullet"/>
      </w:pPr>
      <w:r>
        <w:t>Using learning in familiar everyday situations and gradually applying skills in new contexts.</w:t>
      </w:r>
    </w:p>
    <w:p>
      <w:pPr>
        <w:pStyle w:val="Heading1"/>
      </w:pPr>
      <w:r>
        <w:t>Learning through meaningful experiences</w:t>
      </w:r>
    </w:p>
    <w:tbl>
      <w:tblPr>
        <w:tblW w:type="auto" w:w="0"/>
        <w:jc w:val="center"/>
        <w:tblLayout w:type="autofit"/>
        <w:tblLook w:firstColumn="1" w:firstRow="1" w:lastColumn="0" w:lastRow="0" w:noHBand="0" w:noVBand="1" w:val="04A0"/>
      </w:tblPr>
      <w:tblGrid>
        <w:gridCol w:w="10368"/>
      </w:tblGrid>
      <w:tr>
        <w:tc>
          <w:tcPr>
            <w:tcW w:type="dxa" w:w="10368"/>
            <w:shd w:fill="F8E8EE"/>
            <w:tcMar>
              <w:top w:w="150" w:type="dxa"/>
              <w:start w:w="180" w:type="dxa"/>
              <w:bottom w:w="150" w:type="dxa"/>
              <w:end w:w="180" w:type="dxa"/>
            </w:tcMar>
          </w:tcPr>
          <w:p>
            <w:r>
              <w:rPr>
                <w:b/>
                <w:color w:val="164A6B"/>
              </w:rPr>
              <w:t>A different route to learning</w:t>
            </w:r>
            <w:r>
              <w:br/>
              <w:t>Students may show understanding by looking, touching, moving, choosing, anticipating, vocalising, using symbols or AAC, joining an activity or solving a practical problem. Learning does not have to look the same for every student.</w:t>
            </w:r>
          </w:p>
        </w:tc>
      </w:tr>
    </w:tbl>
    <w:p>
      <w:pPr>
        <w:spacing w:after="20"/>
      </w:pPr>
    </w:p>
    <w:p>
      <w:pPr>
        <w:pStyle w:val="Heading1"/>
      </w:pPr>
      <w:r>
        <w:t>Key programmes and experiences</w:t>
      </w:r>
    </w:p>
    <w:tbl>
      <w:tblPr>
        <w:tblStyle w:val="TableGrid"/>
        <w:tblW w:type="auto" w:w="0"/>
        <w:jc w:val="center"/>
        <w:tblLook w:firstColumn="1" w:firstRow="1" w:lastColumn="0" w:lastRow="0" w:noHBand="0" w:noVBand="1" w:val="04A0"/>
      </w:tblPr>
      <w:tblGrid>
        <w:gridCol w:w="3456"/>
        <w:gridCol w:w="3456"/>
        <w:gridCol w:w="3456"/>
      </w:tblGrid>
      <w:tr>
        <w:trPr>
          <w:tblHeader w:val="true"/>
        </w:trPr>
        <w:tc>
          <w:tcPr>
            <w:tcW w:type="dxa" w:w="3456"/>
            <w:shd w:fill="164A6B"/>
            <w:tcMar>
              <w:top w:w="100" w:type="dxa"/>
              <w:start w:w="120" w:type="dxa"/>
              <w:bottom w:w="100" w:type="dxa"/>
              <w:end w:w="120" w:type="dxa"/>
            </w:tcMar>
          </w:tcPr>
          <w:p>
            <w:pPr>
              <w:jc w:val="center"/>
            </w:pPr>
            <w:r>
              <w:rPr>
                <w:b/>
                <w:color w:val="FFFFFF"/>
                <w:sz w:val="19"/>
              </w:rPr>
              <w:t>Programme / experience</w:t>
            </w:r>
          </w:p>
        </w:tc>
        <w:tc>
          <w:tcPr>
            <w:tcW w:type="dxa" w:w="3456"/>
            <w:shd w:fill="164A6B"/>
            <w:tcMar>
              <w:top w:w="100" w:type="dxa"/>
              <w:start w:w="120" w:type="dxa"/>
              <w:bottom w:w="100" w:type="dxa"/>
              <w:end w:w="120" w:type="dxa"/>
            </w:tcMar>
          </w:tcPr>
          <w:p>
            <w:pPr>
              <w:jc w:val="center"/>
            </w:pPr>
            <w:r>
              <w:rPr>
                <w:b/>
                <w:color w:val="FFFFFF"/>
                <w:sz w:val="19"/>
              </w:rPr>
              <w:t>Why it matters</w:t>
            </w:r>
          </w:p>
        </w:tc>
        <w:tc>
          <w:tcPr>
            <w:tcW w:type="dxa" w:w="3456"/>
            <w:shd w:fill="164A6B"/>
            <w:tcMar>
              <w:top w:w="100" w:type="dxa"/>
              <w:start w:w="120" w:type="dxa"/>
              <w:bottom w:w="100" w:type="dxa"/>
              <w:end w:w="120" w:type="dxa"/>
            </w:tcMar>
          </w:tcPr>
          <w:p>
            <w:pPr>
              <w:jc w:val="center"/>
            </w:pPr>
            <w:r>
              <w:rPr>
                <w:b/>
                <w:color w:val="FFFFFF"/>
                <w:sz w:val="19"/>
              </w:rPr>
              <w:t>What your child may experience</w:t>
            </w:r>
          </w:p>
        </w:tc>
      </w:tr>
      <w:tr>
        <w:tc>
          <w:tcPr>
            <w:tcW w:type="dxa" w:w="3456"/>
            <w:shd w:fill="DCEAF3"/>
            <w:vAlign w:val="top"/>
            <w:tcMar>
              <w:top w:w="100" w:type="dxa"/>
              <w:start w:w="120" w:type="dxa"/>
              <w:bottom w:w="100" w:type="dxa"/>
              <w:end w:w="120" w:type="dxa"/>
            </w:tcMar>
          </w:tcPr>
          <w:p>
            <w:r>
              <w:rPr>
                <w:sz w:val="18"/>
              </w:rPr>
              <w:t>Maths</w:t>
            </w:r>
          </w:p>
        </w:tc>
        <w:tc>
          <w:tcPr>
            <w:tcW w:type="dxa" w:w="3456"/>
            <w:shd w:fill="DCEAF3"/>
            <w:vAlign w:val="top"/>
            <w:tcMar>
              <w:top w:w="100" w:type="dxa"/>
              <w:start w:w="120" w:type="dxa"/>
              <w:bottom w:w="100" w:type="dxa"/>
              <w:end w:w="120" w:type="dxa"/>
            </w:tcMar>
          </w:tcPr>
          <w:p>
            <w:r>
              <w:rPr>
                <w:sz w:val="18"/>
              </w:rPr>
              <w:t>Builds early mathematical understanding through practical, sensory experiences.</w:t>
            </w:r>
          </w:p>
        </w:tc>
        <w:tc>
          <w:tcPr>
            <w:tcW w:type="dxa" w:w="3456"/>
            <w:shd w:fill="DCEAF3"/>
            <w:vAlign w:val="top"/>
            <w:tcMar>
              <w:top w:w="100" w:type="dxa"/>
              <w:start w:w="120" w:type="dxa"/>
              <w:bottom w:w="100" w:type="dxa"/>
              <w:end w:w="120" w:type="dxa"/>
            </w:tcMar>
          </w:tcPr>
          <w:p>
            <w:r>
              <w:rPr>
                <w:sz w:val="18"/>
              </w:rPr>
              <w:t>Counting, sorting, matching, shape, pattern, position, measure, filling and emptying, building and practical problem-solving.</w:t>
            </w:r>
          </w:p>
        </w:tc>
      </w:tr>
      <w:tr>
        <w:tc>
          <w:tcPr>
            <w:tcW w:type="dxa" w:w="3456"/>
            <w:shd w:fill="FFFFFF"/>
            <w:vAlign w:val="top"/>
            <w:tcMar>
              <w:top w:w="100" w:type="dxa"/>
              <w:start w:w="120" w:type="dxa"/>
              <w:bottom w:w="100" w:type="dxa"/>
              <w:end w:w="120" w:type="dxa"/>
            </w:tcMar>
          </w:tcPr>
          <w:p>
            <w:r>
              <w:rPr>
                <w:sz w:val="18"/>
              </w:rPr>
              <w:t>Phonics</w:t>
            </w:r>
          </w:p>
        </w:tc>
        <w:tc>
          <w:tcPr>
            <w:tcW w:type="dxa" w:w="3456"/>
            <w:shd w:fill="FFFFFF"/>
            <w:vAlign w:val="top"/>
            <w:tcMar>
              <w:top w:w="100" w:type="dxa"/>
              <w:start w:w="120" w:type="dxa"/>
              <w:bottom w:w="100" w:type="dxa"/>
              <w:end w:w="120" w:type="dxa"/>
            </w:tcMar>
          </w:tcPr>
          <w:p>
            <w:r>
              <w:rPr>
                <w:sz w:val="18"/>
              </w:rPr>
              <w:t>Develops listening, attention, sound awareness and early reading foundations.</w:t>
            </w:r>
          </w:p>
        </w:tc>
        <w:tc>
          <w:tcPr>
            <w:tcW w:type="dxa" w:w="3456"/>
            <w:shd w:fill="FFFFFF"/>
            <w:vAlign w:val="top"/>
            <w:tcMar>
              <w:top w:w="100" w:type="dxa"/>
              <w:start w:w="120" w:type="dxa"/>
              <w:bottom w:w="100" w:type="dxa"/>
              <w:end w:w="120" w:type="dxa"/>
            </w:tcMar>
          </w:tcPr>
          <w:p>
            <w:r>
              <w:rPr>
                <w:sz w:val="18"/>
              </w:rPr>
              <w:t>Songs, rhythm, environmental sounds, sound walks, instruments, voice play, sensory stories and repeated sound experiences.</w:t>
            </w:r>
          </w:p>
        </w:tc>
      </w:tr>
      <w:tr>
        <w:tc>
          <w:tcPr>
            <w:tcW w:type="dxa" w:w="3456"/>
            <w:shd w:fill="DCEAF3"/>
            <w:vAlign w:val="top"/>
            <w:tcMar>
              <w:top w:w="100" w:type="dxa"/>
              <w:start w:w="120" w:type="dxa"/>
              <w:bottom w:w="100" w:type="dxa"/>
              <w:end w:w="120" w:type="dxa"/>
            </w:tcMar>
          </w:tcPr>
          <w:p>
            <w:r>
              <w:rPr>
                <w:sz w:val="18"/>
              </w:rPr>
              <w:t>Literacy</w:t>
            </w:r>
          </w:p>
        </w:tc>
        <w:tc>
          <w:tcPr>
            <w:tcW w:type="dxa" w:w="3456"/>
            <w:shd w:fill="DCEAF3"/>
            <w:vAlign w:val="top"/>
            <w:tcMar>
              <w:top w:w="100" w:type="dxa"/>
              <w:start w:w="120" w:type="dxa"/>
              <w:bottom w:w="100" w:type="dxa"/>
              <w:end w:w="120" w:type="dxa"/>
            </w:tcMar>
          </w:tcPr>
          <w:p>
            <w:r>
              <w:rPr>
                <w:sz w:val="18"/>
              </w:rPr>
              <w:t>Develops shared attention, understanding, communication and early functional literacy.</w:t>
            </w:r>
          </w:p>
        </w:tc>
        <w:tc>
          <w:tcPr>
            <w:tcW w:type="dxa" w:w="3456"/>
            <w:shd w:fill="DCEAF3"/>
            <w:vAlign w:val="top"/>
            <w:tcMar>
              <w:top w:w="100" w:type="dxa"/>
              <w:start w:w="120" w:type="dxa"/>
              <w:bottom w:w="100" w:type="dxa"/>
              <w:end w:w="120" w:type="dxa"/>
            </w:tcMar>
          </w:tcPr>
          <w:p>
            <w:r>
              <w:rPr>
                <w:sz w:val="18"/>
              </w:rPr>
              <w:t>Sensory stories, books, photographs, symbols, repeated phrases, mark making and AAC-supported communication.</w:t>
            </w:r>
          </w:p>
        </w:tc>
      </w:tr>
      <w:tr>
        <w:tc>
          <w:tcPr>
            <w:tcW w:type="dxa" w:w="3456"/>
            <w:shd w:fill="FFFFFF"/>
            <w:vAlign w:val="top"/>
            <w:tcMar>
              <w:top w:w="100" w:type="dxa"/>
              <w:start w:w="120" w:type="dxa"/>
              <w:bottom w:w="100" w:type="dxa"/>
              <w:end w:w="120" w:type="dxa"/>
            </w:tcMar>
          </w:tcPr>
          <w:p>
            <w:r>
              <w:rPr>
                <w:sz w:val="18"/>
              </w:rPr>
              <w:t>Play and continuous provision</w:t>
            </w:r>
          </w:p>
        </w:tc>
        <w:tc>
          <w:tcPr>
            <w:tcW w:type="dxa" w:w="3456"/>
            <w:shd w:fill="FFFFFF"/>
            <w:vAlign w:val="top"/>
            <w:tcMar>
              <w:top w:w="100" w:type="dxa"/>
              <w:start w:w="120" w:type="dxa"/>
              <w:bottom w:w="100" w:type="dxa"/>
              <w:end w:w="120" w:type="dxa"/>
            </w:tcMar>
          </w:tcPr>
          <w:p>
            <w:r>
              <w:rPr>
                <w:sz w:val="18"/>
              </w:rPr>
              <w:t>Gives students repeated opportunities to revisit and practise learning.</w:t>
            </w:r>
          </w:p>
        </w:tc>
        <w:tc>
          <w:tcPr>
            <w:tcW w:type="dxa" w:w="3456"/>
            <w:shd w:fill="FFFFFF"/>
            <w:vAlign w:val="top"/>
            <w:tcMar>
              <w:top w:w="100" w:type="dxa"/>
              <w:start w:w="120" w:type="dxa"/>
              <w:bottom w:w="100" w:type="dxa"/>
              <w:end w:w="120" w:type="dxa"/>
            </w:tcMar>
          </w:tcPr>
          <w:p>
            <w:r>
              <w:rPr>
                <w:sz w:val="18"/>
              </w:rPr>
              <w:t>Exploratory play, motivating activities, Personal Interest Time and learning embedded in everyday routines.</w:t>
            </w:r>
          </w:p>
        </w:tc>
      </w:tr>
    </w:tbl>
    <w:p>
      <w:pPr>
        <w:spacing w:after="20"/>
      </w:pPr>
    </w:p>
    <w:p>
      <w:pPr>
        <w:pStyle w:val="Heading1"/>
      </w:pPr>
      <w:r>
        <w:t>Literacy: building skills at the right stage</w:t>
      </w:r>
    </w:p>
    <w:p>
      <w:pPr>
        <w:pStyle w:val="ListBullet"/>
      </w:pPr>
      <w:r>
        <w:t>Exploratory Engagement – becoming interested in stories, books, sounds and marks.</w:t>
      </w:r>
    </w:p>
    <w:p>
      <w:pPr>
        <w:pStyle w:val="ListBullet"/>
      </w:pPr>
      <w:r>
        <w:t>Intentional Communication – making choices, anticipating familiar stories and beginning purposeful marks.</w:t>
      </w:r>
    </w:p>
    <w:p>
      <w:pPr>
        <w:pStyle w:val="ListBullet"/>
      </w:pPr>
      <w:r>
        <w:t>Emerging Literacy – recognising symbols or familiar words and developing controlled marks.</w:t>
      </w:r>
    </w:p>
    <w:p>
      <w:pPr>
        <w:pStyle w:val="ListBullet"/>
      </w:pPr>
      <w:r>
        <w:t>Functional Literacy – using reading, writing and communication for meaningful everyday purposes.</w:t>
      </w:r>
    </w:p>
    <w:tbl>
      <w:tblPr>
        <w:tblW w:type="auto" w:w="0"/>
        <w:jc w:val="center"/>
        <w:tblLayout w:type="autofit"/>
        <w:tblLook w:firstColumn="1" w:firstRow="1" w:lastColumn="0" w:lastRow="0" w:noHBand="0" w:noVBand="1" w:val="04A0"/>
      </w:tblPr>
      <w:tblGrid>
        <w:gridCol w:w="10368"/>
      </w:tblGrid>
      <w:tr>
        <w:tc>
          <w:tcPr>
            <w:tcW w:type="dxa" w:w="10368"/>
            <w:shd w:fill="F8E8EE"/>
            <w:tcMar>
              <w:top w:w="150" w:type="dxa"/>
              <w:start w:w="180" w:type="dxa"/>
              <w:bottom w:w="150" w:type="dxa"/>
              <w:end w:w="180" w:type="dxa"/>
            </w:tcMar>
          </w:tcPr>
          <w:p>
            <w:r>
              <w:rPr>
                <w:b/>
                <w:color w:val="164A6B"/>
              </w:rPr>
              <w:t>How do we know your child is making progress?</w:t>
            </w:r>
            <w:r>
              <w:br/>
              <w:t>Progress may be seen when a student stays engaged for longer, anticipates a familiar activity, makes a choice, recognises something familiar, communicates an answer or preference, uses a skill with less adult support, or applies a skill in another familiar situation. Assessment is individualised and focuses on meaningful progress rather than comparison with other students.</w:t>
            </w:r>
          </w:p>
        </w:tc>
      </w:tr>
    </w:tbl>
    <w:p>
      <w:pPr>
        <w:spacing w:after="20"/>
      </w:pPr>
    </w:p>
    <w:p>
      <w:pPr>
        <w:pStyle w:val="Heading1"/>
      </w:pPr>
      <w:r>
        <w:t>How this connects to the wider curriculum</w:t>
      </w:r>
    </w:p>
    <w:p>
      <w:r>
        <w:t>Cognition and Learning is not taught in isolation. Communication, emotional regulation, physical development and independence are woven into learning activities so that students can use their developing skills in meaningful everyday contexts.</w:t>
      </w:r>
    </w:p>
    <w:p>
      <w:pPr>
        <w:pStyle w:val="Heading1"/>
      </w:pPr>
      <w:r>
        <w:t>What families can do at home</w:t>
      </w:r>
    </w:p>
    <w:p>
      <w:pPr>
        <w:pStyle w:val="ListBullet"/>
      </w:pPr>
      <w:r>
        <w:t>Count everyday objects such as cups, steps, toys or items while shopping.</w:t>
      </w:r>
    </w:p>
    <w:p>
      <w:pPr>
        <w:pStyle w:val="ListBullet"/>
      </w:pPr>
      <w:r>
        <w:t>Share favourite books, songs or sensory stories and pause to allow your child to respond.</w:t>
      </w:r>
    </w:p>
    <w:p>
      <w:pPr>
        <w:pStyle w:val="ListBullet"/>
      </w:pPr>
      <w:r>
        <w:t>Offer simple choices and celebrate all meaningful ways your child communicates.</w:t>
      </w:r>
    </w:p>
    <w:p>
      <w:pPr>
        <w:pStyle w:val="ListBullet"/>
      </w:pPr>
      <w:r>
        <w:t>Notice opportunities to sort, match, fill, empty, build, compare and explore during everyday routines.</w:t>
      </w:r>
    </w:p>
    <w:sectPr w:rsidR="00FC693F" w:rsidRPr="0006063C" w:rsidSect="00034616">
      <w:footerReference w:type="default" r:id="rId9"/>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777777"/>
        <w:sz w:val="16"/>
      </w:rPr>
      <w:t>Bespoke Foundations • Family Guide • Abbot’s Lea School</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color w:val="243746"/>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Aptos Display" w:hAnsi="Aptos Display"/>
      <w:b/>
      <w:bCs/>
      <w:color w:val="164A6B"/>
      <w:sz w:val="34"/>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ptos Display" w:hAnsi="Aptos Display"/>
      <w:b/>
      <w:bCs/>
      <w:color w:val="164A6B"/>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Aptos Display" w:hAnsi="Aptos Display"/>
      <w:b/>
      <w:bCs/>
      <w:color w:val="243746"/>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before="160"/>
      <w:contextualSpacing/>
    </w:pPr>
    <w:rPr>
      <w:rFonts w:asciiTheme="majorHAnsi" w:eastAsiaTheme="majorEastAsia" w:hAnsiTheme="majorHAnsi" w:cstheme="majorBidi" w:ascii="Aptos Display" w:hAnsi="Aptos Display"/>
      <w:b/>
      <w:color w:val="164A6B"/>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12" Type="http://schemas.openxmlformats.org/officeDocument/2006/relationships/customXml" Target="../customXml/item4.xml"/><Relationship Id="rId2" Type="http://schemas.openxmlformats.org/officeDocument/2006/relationships/numbering" Target="numbering.xml"/><Relationship Id="rId6" Type="http://schemas.openxmlformats.org/officeDocument/2006/relationships/webSettings" Target="webSettings.xml"/><Relationship Id="rId1" Type="http://schemas.openxmlformats.org/officeDocument/2006/relationships/customXml" Target="../customXml/item1.xml"/><Relationship Id="rId11" Type="http://schemas.openxmlformats.org/officeDocument/2006/relationships/customXml" Target="../customXml/item3.xml"/><Relationship Id="rId5" Type="http://schemas.openxmlformats.org/officeDocument/2006/relationships/settings" Target="settings.xml"/><Relationship Id="rId10" Type="http://schemas.openxmlformats.org/officeDocument/2006/relationships/customXml" Target="../customXml/item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E594AFC21F4EB4CB91F18F362E9DF11" ma:contentTypeVersion="11" ma:contentTypeDescription="Create a new document." ma:contentTypeScope="" ma:versionID="f181b703c6ce649c96c0c118ab9ed8cb">
  <xsd:schema xmlns:xsd="http://www.w3.org/2001/XMLSchema" xmlns:xs="http://www.w3.org/2001/XMLSchema" xmlns:p="http://schemas.microsoft.com/office/2006/metadata/properties" xmlns:ns2="df1fc8bd-41ec-43c6-a393-0d465712147e" xmlns:ns3="0a781ac4-0543-40f6-b874-abd2e65f4b8f" targetNamespace="http://schemas.microsoft.com/office/2006/metadata/properties" ma:root="true" ma:fieldsID="0e8edc09161476b75289b665c2ca624a" ns2:_="" ns3:_="">
    <xsd:import namespace="df1fc8bd-41ec-43c6-a393-0d465712147e"/>
    <xsd:import namespace="0a781ac4-0543-40f6-b874-abd2e65f4b8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1fc8bd-41ec-43c6-a393-0d46571214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0b906ae-6193-44a8-bdc4-44dd01a0c46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a781ac4-0543-40f6-b874-abd2e65f4b8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b55463e-a83d-4c80-bcba-9954fa650f77}" ma:internalName="TaxCatchAll" ma:showField="CatchAllData" ma:web="0a781ac4-0543-40f6-b874-abd2e65f4b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f1fc8bd-41ec-43c6-a393-0d465712147e">
      <Terms xmlns="http://schemas.microsoft.com/office/infopath/2007/PartnerControls"/>
    </lcf76f155ced4ddcb4097134ff3c332f>
    <TaxCatchAll xmlns="0a781ac4-0543-40f6-b874-abd2e65f4b8f"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E036E548-772F-4635-82D1-D610784EF4AC}"/>
</file>

<file path=customXml/itemProps3.xml><?xml version="1.0" encoding="utf-8"?>
<ds:datastoreItem xmlns:ds="http://schemas.openxmlformats.org/officeDocument/2006/customXml" ds:itemID="{60394EFF-0186-4097-905F-9DBCDC405F43}"/>
</file>

<file path=customXml/itemProps4.xml><?xml version="1.0" encoding="utf-8"?>
<ds:datastoreItem xmlns:ds="http://schemas.openxmlformats.org/officeDocument/2006/customXml" ds:itemID="{B909D179-16A3-4D8C-AB7F-78121FD6D3B4}"/>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0x010100FE594AFC21F4EB4CB91F18F362E9DF11</vt:lpwstr>
  </property>
</Properties>
</file>