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64A6B"/>
          <w:sz w:val="22"/>
        </w:rPr>
        <w:t>ABBOT’S LEA SCHOOL</w:t>
      </w:r>
    </w:p>
    <w:p>
      <w:pPr>
        <w:spacing w:after="0"/>
        <w:jc w:val="center"/>
      </w:pPr>
      <w:r>
        <w:rPr>
          <w:b/>
          <w:color w:val="E9B6C7"/>
          <w:sz w:val="22"/>
        </w:rPr>
        <w:t>BESPOKE FOUNDATIONS</w:t>
      </w:r>
    </w:p>
    <w:p>
      <w:pPr>
        <w:pStyle w:val="Title"/>
        <w:jc w:val="center"/>
      </w:pPr>
      <w:r>
        <w:t>Communication and Interaction</w:t>
      </w:r>
    </w:p>
    <w:p>
      <w:pPr>
        <w:spacing w:after="200"/>
        <w:jc w:val="center"/>
      </w:pPr>
      <w:r>
        <w:rPr>
          <w:i/>
          <w:color w:val="243746"/>
          <w:sz w:val="22"/>
        </w:rPr>
        <w:t>A guide for families</w:t>
      </w: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What is Communication and Interaction?</w:t>
            </w:r>
            <w:r>
              <w:br/>
              <w:t>Communication is at the heart of Bespoke Foundations. Students are supported to understand others, express wants and needs, share attention, make choices, interact with people and develop their own ways of communicating. Every form of communication is valued.</w:t>
            </w:r>
          </w:p>
        </w:tc>
      </w:tr>
    </w:tbl>
    <w:p>
      <w:pPr>
        <w:spacing w:after="20"/>
      </w:pPr>
    </w:p>
    <w:p>
      <w:pPr>
        <w:pStyle w:val="Heading1"/>
      </w:pPr>
      <w:r>
        <w:t>What might my child learn?</w:t>
      </w:r>
    </w:p>
    <w:p>
      <w:pPr>
        <w:pStyle w:val="ListBullet"/>
      </w:pPr>
      <w:r>
        <w:t>Communicating wants, needs, choices, preferences and feelings.</w:t>
      </w:r>
    </w:p>
    <w:p>
      <w:pPr>
        <w:pStyle w:val="ListBullet"/>
      </w:pPr>
      <w:r>
        <w:t>Understanding and responding to familiar communication.</w:t>
      </w:r>
    </w:p>
    <w:p>
      <w:pPr>
        <w:pStyle w:val="ListBullet"/>
      </w:pPr>
      <w:r>
        <w:t>Developing shared attention and enjoying interaction with trusted adults and peers.</w:t>
      </w:r>
    </w:p>
    <w:p>
      <w:pPr>
        <w:pStyle w:val="ListBullet"/>
      </w:pPr>
      <w:r>
        <w:t>Requesting, rejecting, commenting, greeting and taking turns.</w:t>
      </w:r>
    </w:p>
    <w:p>
      <w:pPr>
        <w:pStyle w:val="ListBullet"/>
      </w:pPr>
      <w:r>
        <w:t>Anticipating familiar routines and communicating what they want to happen next.</w:t>
      </w:r>
    </w:p>
    <w:p>
      <w:pPr>
        <w:pStyle w:val="ListBullet"/>
      </w:pPr>
      <w:r>
        <w:t>Developing confidence and independence in using their preferred communication system.</w:t>
      </w:r>
    </w:p>
    <w:p>
      <w:pPr>
        <w:pStyle w:val="Heading1"/>
      </w:pPr>
      <w:r>
        <w:t>Total Communication: many ways to communicate</w:t>
      </w: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Communication does not have to be spoken</w:t>
            </w:r>
            <w:r>
              <w:br/>
              <w:t>Students may communicate using spoken language, AAC (communication technology or symbols), visuals, objects of reference, gesture, signing, Makaton, facial expression, eye gaze, movement, vocalisation or other meaningful responses. Adults notice and respond to all communication attempts.</w:t>
            </w:r>
          </w:p>
        </w:tc>
      </w:tr>
    </w:tbl>
    <w:p>
      <w:pPr>
        <w:spacing w:after="20"/>
      </w:pPr>
    </w:p>
    <w:p>
      <w:pPr>
        <w:pStyle w:val="Heading1"/>
      </w:pPr>
      <w:r>
        <w:t>Key programmes and experiences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shd w:fill="164A6B"/>
            <w:tcMar>
              <w:top w:w="100" w:type="dxa"/>
              <w:start w:w="120" w:type="dxa"/>
              <w:bottom w:w="100" w:type="dxa"/>
              <w:end w:w="120" w:type="dxa"/>
            </w:tcMar>
          </w:tcPr>
          <w:p>
            <w:pPr>
              <w:jc w:val="center"/>
            </w:pPr>
            <w:r>
              <w:rPr>
                <w:b/>
                <w:color w:val="FFFFFF"/>
                <w:sz w:val="19"/>
              </w:rPr>
              <w:t>Programme / experience</w:t>
            </w:r>
          </w:p>
        </w:tc>
        <w:tc>
          <w:tcPr>
            <w:tcW w:type="dxa" w:w="3456"/>
            <w:shd w:fill="164A6B"/>
            <w:tcMar>
              <w:top w:w="100" w:type="dxa"/>
              <w:start w:w="120" w:type="dxa"/>
              <w:bottom w:w="100" w:type="dxa"/>
              <w:end w:w="120" w:type="dxa"/>
            </w:tcMar>
          </w:tcPr>
          <w:p>
            <w:pPr>
              <w:jc w:val="center"/>
            </w:pPr>
            <w:r>
              <w:rPr>
                <w:b/>
                <w:color w:val="FFFFFF"/>
                <w:sz w:val="19"/>
              </w:rPr>
              <w:t>Why it matters</w:t>
            </w:r>
          </w:p>
        </w:tc>
        <w:tc>
          <w:tcPr>
            <w:tcW w:type="dxa" w:w="3456"/>
            <w:shd w:fill="164A6B"/>
            <w:tcMar>
              <w:top w:w="100" w:type="dxa"/>
              <w:start w:w="120" w:type="dxa"/>
              <w:bottom w:w="100" w:type="dxa"/>
              <w:end w:w="120" w:type="dxa"/>
            </w:tcMar>
          </w:tcPr>
          <w:p>
            <w:pPr>
              <w:jc w:val="center"/>
            </w:pPr>
            <w:r>
              <w:rPr>
                <w:b/>
                <w:color w:val="FFFFFF"/>
                <w:sz w:val="19"/>
              </w:rPr>
              <w:t>What your child may experience</w:t>
            </w:r>
          </w:p>
        </w:tc>
      </w:tr>
      <w:tr>
        <w:tc>
          <w:tcPr>
            <w:tcW w:type="dxa" w:w="3456"/>
            <w:shd w:fill="DCEAF3"/>
            <w:vAlign w:val="top"/>
            <w:tcMar>
              <w:top w:w="100" w:type="dxa"/>
              <w:start w:w="120" w:type="dxa"/>
              <w:bottom w:w="100" w:type="dxa"/>
              <w:end w:w="120" w:type="dxa"/>
            </w:tcMar>
          </w:tcPr>
          <w:p>
            <w:r>
              <w:rPr>
                <w:sz w:val="18"/>
              </w:rPr>
              <w:t>Core Word Curriculum</w:t>
            </w:r>
          </w:p>
        </w:tc>
        <w:tc>
          <w:tcPr>
            <w:tcW w:type="dxa" w:w="3456"/>
            <w:shd w:fill="DCEAF3"/>
            <w:vAlign w:val="top"/>
            <w:tcMar>
              <w:top w:w="100" w:type="dxa"/>
              <w:start w:w="120" w:type="dxa"/>
              <w:bottom w:w="100" w:type="dxa"/>
              <w:end w:w="120" w:type="dxa"/>
            </w:tcMar>
          </w:tcPr>
          <w:p>
            <w:r>
              <w:rPr>
                <w:sz w:val="18"/>
              </w:rPr>
              <w:t>Builds functional communication using useful words that can be used throughout the day.</w:t>
            </w:r>
          </w:p>
        </w:tc>
        <w:tc>
          <w:tcPr>
            <w:tcW w:type="dxa" w:w="3456"/>
            <w:shd w:fill="DCEAF3"/>
            <w:vAlign w:val="top"/>
            <w:tcMar>
              <w:top w:w="100" w:type="dxa"/>
              <w:start w:w="120" w:type="dxa"/>
              <w:bottom w:w="100" w:type="dxa"/>
              <w:end w:w="120" w:type="dxa"/>
            </w:tcMar>
          </w:tcPr>
          <w:p>
            <w:r>
              <w:rPr>
                <w:sz w:val="18"/>
              </w:rPr>
              <w:t>Words such as want, yes, no, help, more, stop, go, open, finished, look and turn modelled through real experiences.</w:t>
            </w:r>
          </w:p>
        </w:tc>
      </w:tr>
      <w:tr>
        <w:tc>
          <w:tcPr>
            <w:tcW w:type="dxa" w:w="3456"/>
            <w:shd w:fill="FFFFFF"/>
            <w:vAlign w:val="top"/>
            <w:tcMar>
              <w:top w:w="100" w:type="dxa"/>
              <w:start w:w="120" w:type="dxa"/>
              <w:bottom w:w="100" w:type="dxa"/>
              <w:end w:w="120" w:type="dxa"/>
            </w:tcMar>
          </w:tcPr>
          <w:p>
            <w:r>
              <w:rPr>
                <w:sz w:val="18"/>
              </w:rPr>
              <w:t>Bucket Therapy</w:t>
            </w:r>
          </w:p>
        </w:tc>
        <w:tc>
          <w:tcPr>
            <w:tcW w:type="dxa" w:w="3456"/>
            <w:shd w:fill="FFFFFF"/>
            <w:vAlign w:val="top"/>
            <w:tcMar>
              <w:top w:w="100" w:type="dxa"/>
              <w:start w:w="120" w:type="dxa"/>
              <w:bottom w:w="100" w:type="dxa"/>
              <w:end w:w="120" w:type="dxa"/>
            </w:tcMar>
          </w:tcPr>
          <w:p>
            <w:r>
              <w:rPr>
                <w:sz w:val="18"/>
              </w:rPr>
              <w:t>Develops shared attention, anticipation and early group participation.</w:t>
            </w:r>
          </w:p>
        </w:tc>
        <w:tc>
          <w:tcPr>
            <w:tcW w:type="dxa" w:w="3456"/>
            <w:shd w:fill="FFFFFF"/>
            <w:vAlign w:val="top"/>
            <w:tcMar>
              <w:top w:w="100" w:type="dxa"/>
              <w:start w:w="120" w:type="dxa"/>
              <w:bottom w:w="100" w:type="dxa"/>
              <w:end w:w="120" w:type="dxa"/>
            </w:tcMar>
          </w:tcPr>
          <w:p>
            <w:r>
              <w:rPr>
                <w:sz w:val="18"/>
              </w:rPr>
              <w:t>Short, motivating sessions where students can watch, anticipate, request, share enjoyment and gradually join in.</w:t>
            </w:r>
          </w:p>
        </w:tc>
      </w:tr>
      <w:tr>
        <w:tc>
          <w:tcPr>
            <w:tcW w:type="dxa" w:w="3456"/>
            <w:shd w:fill="DCEAF3"/>
            <w:vAlign w:val="top"/>
            <w:tcMar>
              <w:top w:w="100" w:type="dxa"/>
              <w:start w:w="120" w:type="dxa"/>
              <w:bottom w:w="100" w:type="dxa"/>
              <w:end w:w="120" w:type="dxa"/>
            </w:tcMar>
          </w:tcPr>
          <w:p>
            <w:r>
              <w:rPr>
                <w:sz w:val="18"/>
              </w:rPr>
              <w:t>Sensology</w:t>
            </w:r>
          </w:p>
        </w:tc>
        <w:tc>
          <w:tcPr>
            <w:tcW w:type="dxa" w:w="3456"/>
            <w:shd w:fill="DCEAF3"/>
            <w:vAlign w:val="top"/>
            <w:tcMar>
              <w:top w:w="100" w:type="dxa"/>
              <w:start w:w="120" w:type="dxa"/>
              <w:bottom w:w="100" w:type="dxa"/>
              <w:end w:w="120" w:type="dxa"/>
            </w:tcMar>
          </w:tcPr>
          <w:p>
            <w:r>
              <w:rPr>
                <w:sz w:val="18"/>
              </w:rPr>
              <w:t>Supports sensory awareness, body awareness, anticipation and readiness for learning.</w:t>
            </w:r>
          </w:p>
        </w:tc>
        <w:tc>
          <w:tcPr>
            <w:tcW w:type="dxa" w:w="3456"/>
            <w:shd w:fill="DCEAF3"/>
            <w:vAlign w:val="top"/>
            <w:tcMar>
              <w:top w:w="100" w:type="dxa"/>
              <w:start w:w="120" w:type="dxa"/>
              <w:bottom w:w="100" w:type="dxa"/>
              <w:end w:w="120" w:type="dxa"/>
            </w:tcMar>
          </w:tcPr>
          <w:p>
            <w:r>
              <w:rPr>
                <w:sz w:val="18"/>
              </w:rPr>
              <w:t>Predictable experiences involving touch, smell, sound, light, taste and movement.</w:t>
            </w:r>
          </w:p>
        </w:tc>
      </w:tr>
      <w:tr>
        <w:tc>
          <w:tcPr>
            <w:tcW w:type="dxa" w:w="3456"/>
            <w:shd w:fill="FFFFFF"/>
            <w:vAlign w:val="top"/>
            <w:tcMar>
              <w:top w:w="100" w:type="dxa"/>
              <w:start w:w="120" w:type="dxa"/>
              <w:bottom w:w="100" w:type="dxa"/>
              <w:end w:w="120" w:type="dxa"/>
            </w:tcMar>
          </w:tcPr>
          <w:p>
            <w:r>
              <w:rPr>
                <w:sz w:val="18"/>
              </w:rPr>
              <w:t>What’s in the Box?</w:t>
            </w:r>
          </w:p>
        </w:tc>
        <w:tc>
          <w:tcPr>
            <w:tcW w:type="dxa" w:w="3456"/>
            <w:shd w:fill="FFFFFF"/>
            <w:vAlign w:val="top"/>
            <w:tcMar>
              <w:top w:w="100" w:type="dxa"/>
              <w:start w:w="120" w:type="dxa"/>
              <w:bottom w:w="100" w:type="dxa"/>
              <w:end w:w="120" w:type="dxa"/>
            </w:tcMar>
          </w:tcPr>
          <w:p>
            <w:r>
              <w:rPr>
                <w:sz w:val="18"/>
              </w:rPr>
              <w:t>Creates a playful, predictable opportunity for curiosity and communication.</w:t>
            </w:r>
          </w:p>
        </w:tc>
        <w:tc>
          <w:tcPr>
            <w:tcW w:type="dxa" w:w="3456"/>
            <w:shd w:fill="FFFFFF"/>
            <w:vAlign w:val="top"/>
            <w:tcMar>
              <w:top w:w="100" w:type="dxa"/>
              <w:start w:w="120" w:type="dxa"/>
              <w:bottom w:w="100" w:type="dxa"/>
              <w:end w:w="120" w:type="dxa"/>
            </w:tcMar>
          </w:tcPr>
          <w:p>
            <w:r>
              <w:rPr>
                <w:sz w:val="18"/>
              </w:rPr>
              <w:t>Exploring motivating objects, sensory resources and theme-linked items while adults model language and interaction.</w:t>
            </w:r>
          </w:p>
        </w:tc>
      </w:tr>
      <w:tr>
        <w:tc>
          <w:tcPr>
            <w:tcW w:type="dxa" w:w="3456"/>
            <w:shd w:fill="DCEAF3"/>
            <w:vAlign w:val="top"/>
            <w:tcMar>
              <w:top w:w="100" w:type="dxa"/>
              <w:start w:w="120" w:type="dxa"/>
              <w:bottom w:w="100" w:type="dxa"/>
              <w:end w:w="120" w:type="dxa"/>
            </w:tcMar>
          </w:tcPr>
          <w:p>
            <w:r>
              <w:rPr>
                <w:sz w:val="18"/>
              </w:rPr>
              <w:t>Intensive Interaction</w:t>
            </w:r>
          </w:p>
        </w:tc>
        <w:tc>
          <w:tcPr>
            <w:tcW w:type="dxa" w:w="3456"/>
            <w:shd w:fill="DCEAF3"/>
            <w:vAlign w:val="top"/>
            <w:tcMar>
              <w:top w:w="100" w:type="dxa"/>
              <w:start w:w="120" w:type="dxa"/>
              <w:bottom w:w="100" w:type="dxa"/>
              <w:end w:w="120" w:type="dxa"/>
            </w:tcMar>
          </w:tcPr>
          <w:p>
            <w:r>
              <w:rPr>
                <w:sz w:val="18"/>
              </w:rPr>
              <w:t>Builds connection, shared attention and early social communication.</w:t>
            </w:r>
          </w:p>
        </w:tc>
        <w:tc>
          <w:tcPr>
            <w:tcW w:type="dxa" w:w="3456"/>
            <w:shd w:fill="DCEAF3"/>
            <w:vAlign w:val="top"/>
            <w:tcMar>
              <w:top w:w="100" w:type="dxa"/>
              <w:start w:w="120" w:type="dxa"/>
              <w:bottom w:w="100" w:type="dxa"/>
              <w:end w:w="120" w:type="dxa"/>
            </w:tcMar>
          </w:tcPr>
          <w:p>
            <w:r>
              <w:rPr>
                <w:sz w:val="18"/>
              </w:rPr>
              <w:t>Playful, repetitive, sensory or movement-based interaction matched to the student’s interests and responses.</w:t>
            </w:r>
          </w:p>
        </w:tc>
      </w:tr>
    </w:tbl>
    <w:p>
      <w:pPr>
        <w:spacing w:after="20"/>
      </w:pPr>
    </w:p>
    <w:p>
      <w:pPr>
        <w:pStyle w:val="Heading1"/>
      </w:pPr>
      <w:r>
        <w:t>Communication in everyday school life</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5184"/>
            <w:shd w:fill="164A6B"/>
            <w:tcMar>
              <w:top w:w="100" w:type="dxa"/>
              <w:start w:w="120" w:type="dxa"/>
              <w:bottom w:w="100" w:type="dxa"/>
              <w:end w:w="120" w:type="dxa"/>
            </w:tcMar>
          </w:tcPr>
          <w:p>
            <w:r>
              <w:rPr>
                <w:b/>
                <w:color w:val="FFFFFF"/>
                <w:sz w:val="19"/>
              </w:rPr>
              <w:t>Families may notice</w:t>
            </w:r>
          </w:p>
        </w:tc>
        <w:tc>
          <w:tcPr>
            <w:tcW w:type="dxa" w:w="5184"/>
            <w:shd w:fill="164A6B"/>
            <w:tcMar>
              <w:top w:w="100" w:type="dxa"/>
              <w:start w:w="120" w:type="dxa"/>
              <w:bottom w:w="100" w:type="dxa"/>
              <w:end w:w="120" w:type="dxa"/>
            </w:tcMar>
          </w:tcPr>
          <w:p>
            <w:r>
              <w:rPr>
                <w:b/>
                <w:color w:val="FFFFFF"/>
                <w:sz w:val="19"/>
              </w:rPr>
              <w:t>How school supports this</w:t>
            </w:r>
          </w:p>
        </w:tc>
      </w:tr>
      <w:tr>
        <w:tc>
          <w:tcPr>
            <w:tcW w:type="dxa" w:w="5184"/>
            <w:shd w:fill="DCEAF3"/>
            <w:tcMar>
              <w:top w:w="100" w:type="dxa"/>
              <w:start w:w="120" w:type="dxa"/>
              <w:bottom w:w="100" w:type="dxa"/>
              <w:end w:w="120" w:type="dxa"/>
            </w:tcMar>
          </w:tcPr>
          <w:p>
            <w:r>
              <w:rPr>
                <w:sz w:val="18"/>
              </w:rPr>
              <w:t>Choosing an activity or object</w:t>
            </w:r>
          </w:p>
        </w:tc>
        <w:tc>
          <w:tcPr>
            <w:tcW w:type="dxa" w:w="5184"/>
            <w:shd w:fill="DCEAF3"/>
            <w:tcMar>
              <w:top w:w="100" w:type="dxa"/>
              <w:start w:w="120" w:type="dxa"/>
              <w:bottom w:w="100" w:type="dxa"/>
              <w:end w:w="120" w:type="dxa"/>
            </w:tcMar>
          </w:tcPr>
          <w:p>
            <w:r>
              <w:rPr>
                <w:sz w:val="18"/>
              </w:rPr>
              <w:t>Adults offer meaningful choices using objects, photographs, symbols, AAC, gesture or spoken language.</w:t>
            </w:r>
          </w:p>
        </w:tc>
      </w:tr>
      <w:tr>
        <w:tc>
          <w:tcPr>
            <w:tcW w:type="dxa" w:w="5184"/>
            <w:shd w:fill="FFFFFF"/>
            <w:tcMar>
              <w:top w:w="100" w:type="dxa"/>
              <w:start w:w="120" w:type="dxa"/>
              <w:bottom w:w="100" w:type="dxa"/>
              <w:end w:w="120" w:type="dxa"/>
            </w:tcMar>
          </w:tcPr>
          <w:p>
            <w:r>
              <w:rPr>
                <w:sz w:val="18"/>
              </w:rPr>
              <w:t>Asking for help or more</w:t>
            </w:r>
          </w:p>
        </w:tc>
        <w:tc>
          <w:tcPr>
            <w:tcW w:type="dxa" w:w="5184"/>
            <w:shd w:fill="FFFFFF"/>
            <w:tcMar>
              <w:top w:w="100" w:type="dxa"/>
              <w:start w:w="120" w:type="dxa"/>
              <w:bottom w:w="100" w:type="dxa"/>
              <w:end w:w="120" w:type="dxa"/>
            </w:tcMar>
          </w:tcPr>
          <w:p>
            <w:r>
              <w:rPr>
                <w:sz w:val="18"/>
              </w:rPr>
              <w:t>Adults model functional words and communication systems during motivating activities.</w:t>
            </w:r>
          </w:p>
        </w:tc>
      </w:tr>
      <w:tr>
        <w:tc>
          <w:tcPr>
            <w:tcW w:type="dxa" w:w="5184"/>
            <w:shd w:fill="DCEAF3"/>
            <w:tcMar>
              <w:top w:w="100" w:type="dxa"/>
              <w:start w:w="120" w:type="dxa"/>
              <w:bottom w:w="100" w:type="dxa"/>
              <w:end w:w="120" w:type="dxa"/>
            </w:tcMar>
          </w:tcPr>
          <w:p>
            <w:r>
              <w:rPr>
                <w:sz w:val="18"/>
              </w:rPr>
              <w:t>Saying no or finished</w:t>
            </w:r>
          </w:p>
        </w:tc>
        <w:tc>
          <w:tcPr>
            <w:tcW w:type="dxa" w:w="5184"/>
            <w:shd w:fill="DCEAF3"/>
            <w:tcMar>
              <w:top w:w="100" w:type="dxa"/>
              <w:start w:w="120" w:type="dxa"/>
              <w:bottom w:w="100" w:type="dxa"/>
              <w:end w:w="120" w:type="dxa"/>
            </w:tcMar>
          </w:tcPr>
          <w:p>
            <w:r>
              <w:rPr>
                <w:sz w:val="18"/>
              </w:rPr>
              <w:t>Students are supported to communicate refusal and preferences safely and meaningfully.</w:t>
            </w:r>
          </w:p>
        </w:tc>
      </w:tr>
      <w:tr>
        <w:tc>
          <w:tcPr>
            <w:tcW w:type="dxa" w:w="5184"/>
            <w:shd w:fill="FFFFFF"/>
            <w:tcMar>
              <w:top w:w="100" w:type="dxa"/>
              <w:start w:w="120" w:type="dxa"/>
              <w:bottom w:w="100" w:type="dxa"/>
              <w:end w:w="120" w:type="dxa"/>
            </w:tcMar>
          </w:tcPr>
          <w:p>
            <w:r>
              <w:rPr>
                <w:sz w:val="18"/>
              </w:rPr>
              <w:t>Sharing enjoyment</w:t>
            </w:r>
          </w:p>
        </w:tc>
        <w:tc>
          <w:tcPr>
            <w:tcW w:type="dxa" w:w="5184"/>
            <w:shd w:fill="FFFFFF"/>
            <w:tcMar>
              <w:top w:w="100" w:type="dxa"/>
              <w:start w:w="120" w:type="dxa"/>
              <w:bottom w:w="100" w:type="dxa"/>
              <w:end w:w="120" w:type="dxa"/>
            </w:tcMar>
          </w:tcPr>
          <w:p>
            <w:r>
              <w:rPr>
                <w:sz w:val="18"/>
              </w:rPr>
              <w:t>Adults pause, wait and respond to small signals so students learn that their communication has an impact.</w:t>
            </w:r>
          </w:p>
        </w:tc>
      </w:tr>
      <w:tr>
        <w:tc>
          <w:tcPr>
            <w:tcW w:type="dxa" w:w="5184"/>
            <w:shd w:fill="DCEAF3"/>
            <w:tcMar>
              <w:top w:w="100" w:type="dxa"/>
              <w:start w:w="120" w:type="dxa"/>
              <w:bottom w:w="100" w:type="dxa"/>
              <w:end w:w="120" w:type="dxa"/>
            </w:tcMar>
          </w:tcPr>
          <w:p>
            <w:r>
              <w:rPr>
                <w:sz w:val="18"/>
              </w:rPr>
              <w:t>Moving between activities</w:t>
            </w:r>
          </w:p>
        </w:tc>
        <w:tc>
          <w:tcPr>
            <w:tcW w:type="dxa" w:w="5184"/>
            <w:shd w:fill="DCEAF3"/>
            <w:tcMar>
              <w:top w:w="100" w:type="dxa"/>
              <w:start w:w="120" w:type="dxa"/>
              <w:bottom w:w="100" w:type="dxa"/>
              <w:end w:w="120" w:type="dxa"/>
            </w:tcMar>
          </w:tcPr>
          <w:p>
            <w:r>
              <w:rPr>
                <w:sz w:val="18"/>
              </w:rPr>
              <w:t>Visuals, objects of reference, familiar routines and consistent language help students understand what is happening.</w:t>
            </w:r>
          </w:p>
        </w:tc>
      </w:tr>
    </w:tbl>
    <w:p>
      <w:pPr>
        <w:spacing w:after="20"/>
      </w:pP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How do we know your child is making progress?</w:t>
            </w:r>
            <w:r>
              <w:br/>
              <w:t>Progress may be seen when a student communicates more intentionally, uses a familiar communication method more often, initiates interaction, anticipates a familiar routine, responds to another person, makes a choice, requests help or communicates a preference with less adult support.</w:t>
            </w:r>
          </w:p>
        </w:tc>
      </w:tr>
    </w:tbl>
    <w:p>
      <w:pPr>
        <w:spacing w:after="20"/>
      </w:pPr>
    </w:p>
    <w:p>
      <w:pPr>
        <w:pStyle w:val="Heading1"/>
      </w:pPr>
      <w:r>
        <w:t>What families may see at home</w:t>
      </w:r>
    </w:p>
    <w:p>
      <w:r>
        <w:t>The same communication approaches used at school can be helpful at home. Staff can work with families to support consistency, particularly around communication systems, useful vocabulary, routines and ways to communicate choice, refusal and help.</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Bespoke Foundations • Family Guide • Abbot’s Lea School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64A6B"/>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164A6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24374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64A6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7AD4DF2-704B-45FB-8EFD-826BF23A1967}"/>
</file>

<file path=customXml/itemProps3.xml><?xml version="1.0" encoding="utf-8"?>
<ds:datastoreItem xmlns:ds="http://schemas.openxmlformats.org/officeDocument/2006/customXml" ds:itemID="{E8C00899-C38E-4843-977F-302EF40CDAAF}"/>
</file>

<file path=customXml/itemProps4.xml><?xml version="1.0" encoding="utf-8"?>
<ds:datastoreItem xmlns:ds="http://schemas.openxmlformats.org/officeDocument/2006/customXml" ds:itemID="{9E985EF4-139B-4A50-B95D-D20DBA9300DF}"/>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ies>
</file>